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E2C28">
      <w:pPr>
        <w:ind w:firstLine="560" w:firstLineChars="200"/>
        <w:jc w:val="left"/>
        <w:rPr>
          <w:sz w:val="28"/>
        </w:rPr>
      </w:pPr>
    </w:p>
    <w:p w14:paraId="6958E674">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黑体" w:eastAsia="黑体"/>
          <w:b/>
          <w:kern w:val="22"/>
          <w:sz w:val="44"/>
          <w:szCs w:val="44"/>
          <w:lang w:val="en-US" w:eastAsia="zh-CN"/>
        </w:rPr>
      </w:pPr>
      <w:r>
        <w:rPr>
          <w:rFonts w:hint="eastAsia" w:ascii="黑体" w:eastAsia="黑体"/>
          <w:b/>
          <w:kern w:val="22"/>
          <w:sz w:val="44"/>
          <w:szCs w:val="44"/>
          <w:lang w:val="en-US" w:eastAsia="zh-CN"/>
        </w:rPr>
        <w:t>山西省地方标准</w:t>
      </w:r>
    </w:p>
    <w:p w14:paraId="3584FB80">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ascii="黑体" w:eastAsia="黑体"/>
          <w:b/>
          <w:kern w:val="22"/>
          <w:sz w:val="44"/>
          <w:szCs w:val="44"/>
        </w:rPr>
      </w:pPr>
      <w:r>
        <w:rPr>
          <w:rFonts w:ascii="黑体" w:eastAsia="黑体"/>
          <w:b/>
          <w:kern w:val="22"/>
          <w:sz w:val="44"/>
          <w:szCs w:val="44"/>
        </w:rPr>
        <w:t>《</w:t>
      </w:r>
      <w:r>
        <w:rPr>
          <w:rFonts w:hint="eastAsia" w:ascii="黑体" w:eastAsia="黑体"/>
          <w:b/>
          <w:kern w:val="22"/>
          <w:sz w:val="44"/>
          <w:szCs w:val="44"/>
          <w:lang w:val="en-US" w:eastAsia="zh-CN"/>
        </w:rPr>
        <w:t>暗纹东方鲀工厂化循环水养殖技术</w:t>
      </w:r>
      <w:r>
        <w:rPr>
          <w:rFonts w:hint="eastAsia" w:ascii="黑体" w:eastAsia="黑体"/>
          <w:b/>
          <w:kern w:val="22"/>
          <w:sz w:val="44"/>
          <w:szCs w:val="44"/>
          <w:lang w:eastAsia="zh-CN"/>
        </w:rPr>
        <w:t>规范</w:t>
      </w:r>
      <w:r>
        <w:rPr>
          <w:rFonts w:ascii="黑体" w:eastAsia="黑体"/>
          <w:b/>
          <w:kern w:val="22"/>
          <w:sz w:val="44"/>
          <w:szCs w:val="44"/>
        </w:rPr>
        <w:t>》</w:t>
      </w:r>
    </w:p>
    <w:p w14:paraId="43669E5D">
      <w:pPr>
        <w:spacing w:line="360" w:lineRule="auto"/>
        <w:jc w:val="center"/>
        <w:rPr>
          <w:rFonts w:ascii="楷体_GB2312" w:eastAsia="楷体_GB2312"/>
          <w:b/>
          <w:spacing w:val="20"/>
          <w:kern w:val="22"/>
          <w:sz w:val="44"/>
          <w:szCs w:val="44"/>
        </w:rPr>
      </w:pPr>
    </w:p>
    <w:p w14:paraId="5F721C1D">
      <w:pPr>
        <w:spacing w:line="360" w:lineRule="auto"/>
        <w:jc w:val="center"/>
        <w:rPr>
          <w:rFonts w:ascii="楷体_GB2312" w:eastAsia="楷体_GB2312"/>
          <w:b/>
          <w:spacing w:val="20"/>
          <w:kern w:val="22"/>
          <w:sz w:val="44"/>
          <w:szCs w:val="44"/>
        </w:rPr>
      </w:pPr>
    </w:p>
    <w:p w14:paraId="2C37C7F4">
      <w:pPr>
        <w:spacing w:line="360" w:lineRule="auto"/>
        <w:jc w:val="center"/>
        <w:rPr>
          <w:rFonts w:ascii="楷体_GB2312" w:eastAsia="楷体_GB2312"/>
          <w:b/>
          <w:spacing w:val="20"/>
          <w:kern w:val="22"/>
          <w:sz w:val="44"/>
          <w:szCs w:val="44"/>
        </w:rPr>
      </w:pPr>
    </w:p>
    <w:p w14:paraId="6126A1FD">
      <w:pPr>
        <w:spacing w:line="360" w:lineRule="auto"/>
        <w:jc w:val="center"/>
        <w:rPr>
          <w:rFonts w:ascii="楷体_GB2312" w:eastAsia="楷体_GB2312"/>
          <w:b/>
          <w:spacing w:val="20"/>
          <w:kern w:val="22"/>
          <w:sz w:val="44"/>
          <w:szCs w:val="44"/>
        </w:rPr>
      </w:pPr>
      <w:r>
        <w:rPr>
          <w:rFonts w:ascii="楷体_GB2312" w:eastAsia="楷体_GB2312"/>
          <w:b/>
          <w:spacing w:val="20"/>
          <w:kern w:val="22"/>
          <w:sz w:val="44"/>
          <w:szCs w:val="44"/>
        </w:rPr>
        <w:t>编制说明</w:t>
      </w:r>
    </w:p>
    <w:p w14:paraId="7397341B">
      <w:pPr>
        <w:ind w:firstLine="883" w:firstLineChars="200"/>
        <w:rPr>
          <w:b/>
          <w:sz w:val="44"/>
          <w:szCs w:val="44"/>
        </w:rPr>
      </w:pPr>
    </w:p>
    <w:p w14:paraId="00DAC8B0">
      <w:pPr>
        <w:ind w:firstLine="883" w:firstLineChars="200"/>
        <w:rPr>
          <w:b/>
          <w:sz w:val="44"/>
          <w:szCs w:val="44"/>
        </w:rPr>
      </w:pPr>
    </w:p>
    <w:p w14:paraId="5FE7DF34">
      <w:pPr>
        <w:ind w:firstLine="883" w:firstLineChars="200"/>
        <w:rPr>
          <w:b/>
          <w:sz w:val="44"/>
          <w:szCs w:val="44"/>
        </w:rPr>
      </w:pPr>
    </w:p>
    <w:p w14:paraId="6AA9AFF9">
      <w:pPr>
        <w:ind w:firstLine="643" w:firstLineChars="200"/>
        <w:jc w:val="center"/>
        <w:rPr>
          <w:b/>
          <w:sz w:val="32"/>
          <w:szCs w:val="32"/>
        </w:rPr>
      </w:pPr>
    </w:p>
    <w:p w14:paraId="1369998F">
      <w:pPr>
        <w:pStyle w:val="11"/>
        <w:rPr>
          <w:b/>
          <w:sz w:val="32"/>
          <w:szCs w:val="32"/>
        </w:rPr>
      </w:pPr>
    </w:p>
    <w:p w14:paraId="6E44BB12">
      <w:pPr>
        <w:pStyle w:val="6"/>
        <w:rPr>
          <w:b/>
          <w:sz w:val="32"/>
          <w:szCs w:val="32"/>
        </w:rPr>
      </w:pPr>
    </w:p>
    <w:p w14:paraId="77A2369F">
      <w:pPr>
        <w:rPr>
          <w:b/>
          <w:sz w:val="32"/>
          <w:szCs w:val="32"/>
        </w:rPr>
      </w:pPr>
    </w:p>
    <w:p w14:paraId="5D147942">
      <w:pPr>
        <w:pStyle w:val="11"/>
      </w:pPr>
    </w:p>
    <w:p w14:paraId="2CC74E55">
      <w:pPr>
        <w:jc w:val="both"/>
        <w:rPr>
          <w:b/>
          <w:sz w:val="32"/>
          <w:szCs w:val="32"/>
        </w:rPr>
      </w:pPr>
    </w:p>
    <w:p w14:paraId="129BBFED">
      <w:pPr>
        <w:ind w:firstLine="643" w:firstLineChars="200"/>
        <w:jc w:val="center"/>
        <w:rPr>
          <w:b/>
          <w:sz w:val="32"/>
          <w:szCs w:val="32"/>
        </w:rPr>
      </w:pPr>
    </w:p>
    <w:p w14:paraId="0AAB6670">
      <w:pPr>
        <w:spacing w:line="360" w:lineRule="auto"/>
        <w:jc w:val="center"/>
        <w:rPr>
          <w:rFonts w:ascii="宋体" w:hAnsi="宋体"/>
          <w:b/>
          <w:kern w:val="22"/>
          <w:sz w:val="10"/>
          <w:szCs w:val="10"/>
          <w:highlight w:val="yellow"/>
        </w:rPr>
      </w:pPr>
      <w:r>
        <w:rPr>
          <w:rFonts w:hint="eastAsia" w:ascii="宋体" w:hAnsi="宋体"/>
          <w:b/>
          <w:kern w:val="22"/>
          <w:sz w:val="32"/>
          <w:szCs w:val="32"/>
        </w:rPr>
        <w:t>编制单位：</w:t>
      </w:r>
      <w:r>
        <w:rPr>
          <w:rFonts w:hint="eastAsia" w:ascii="宋体" w:hAnsi="宋体"/>
          <w:b/>
          <w:kern w:val="22"/>
          <w:sz w:val="32"/>
          <w:szCs w:val="32"/>
          <w:lang w:val="en-US" w:eastAsia="zh-CN"/>
        </w:rPr>
        <w:t>山西省检验检测中心（山西省标准计量技术研究院）</w:t>
      </w:r>
    </w:p>
    <w:p w14:paraId="09D22A25">
      <w:pPr>
        <w:spacing w:line="360" w:lineRule="auto"/>
        <w:jc w:val="center"/>
        <w:rPr>
          <w:rFonts w:ascii="宋体" w:hAnsi="宋体"/>
          <w:b/>
          <w:sz w:val="30"/>
          <w:szCs w:val="30"/>
        </w:rPr>
        <w:sectPr>
          <w:headerReference r:id="rId4" w:type="first"/>
          <w:footerReference r:id="rId7" w:type="first"/>
          <w:headerReference r:id="rId3" w:type="default"/>
          <w:footerReference r:id="rId5" w:type="default"/>
          <w:footerReference r:id="rId6" w:type="even"/>
          <w:pgSz w:w="11906" w:h="16838"/>
          <w:pgMar w:top="1440" w:right="669" w:bottom="1440" w:left="726" w:header="851" w:footer="992" w:gutter="0"/>
          <w:pgNumType w:start="0"/>
          <w:cols w:space="0" w:num="1"/>
          <w:rtlGutter w:val="0"/>
          <w:docGrid w:type="lines" w:linePitch="312" w:charSpace="0"/>
        </w:sectPr>
      </w:pPr>
      <w:r>
        <w:rPr>
          <w:rFonts w:hint="eastAsia" w:ascii="宋体" w:hAnsi="宋体"/>
          <w:b/>
          <w:sz w:val="32"/>
          <w:szCs w:val="32"/>
        </w:rPr>
        <w:t>二〇二</w:t>
      </w:r>
      <w:r>
        <w:rPr>
          <w:rFonts w:hint="eastAsia" w:ascii="宋体" w:hAnsi="宋体"/>
          <w:b/>
          <w:sz w:val="32"/>
          <w:szCs w:val="32"/>
          <w:lang w:val="en-US" w:eastAsia="zh-CN"/>
        </w:rPr>
        <w:t>三</w:t>
      </w:r>
      <w:r>
        <w:rPr>
          <w:rFonts w:hint="eastAsia" w:ascii="宋体" w:hAnsi="宋体"/>
          <w:b/>
          <w:sz w:val="32"/>
          <w:szCs w:val="32"/>
        </w:rPr>
        <w:t>年</w:t>
      </w:r>
      <w:r>
        <w:rPr>
          <w:rFonts w:hint="eastAsia" w:ascii="宋体" w:hAnsi="宋体"/>
          <w:b/>
          <w:sz w:val="32"/>
          <w:szCs w:val="32"/>
          <w:lang w:val="en-US" w:eastAsia="zh-CN"/>
        </w:rPr>
        <w:t>五</w:t>
      </w:r>
      <w:r>
        <w:rPr>
          <w:rFonts w:hint="eastAsia" w:ascii="宋体" w:hAnsi="宋体"/>
          <w:b/>
          <w:sz w:val="32"/>
          <w:szCs w:val="32"/>
        </w:rPr>
        <w:t>月</w:t>
      </w:r>
    </w:p>
    <w:p w14:paraId="6B1C3432">
      <w:pPr>
        <w:spacing w:line="600" w:lineRule="exact"/>
        <w:ind w:right="17"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rPr>
        <w:t>一、工作</w:t>
      </w:r>
      <w:r>
        <w:rPr>
          <w:rFonts w:hint="eastAsia" w:ascii="黑体" w:hAnsi="黑体" w:eastAsia="黑体" w:cs="黑体"/>
          <w:b w:val="0"/>
          <w:bCs/>
          <w:sz w:val="32"/>
          <w:szCs w:val="32"/>
          <w:lang w:eastAsia="zh-CN"/>
        </w:rPr>
        <w:t>简况</w:t>
      </w:r>
    </w:p>
    <w:p w14:paraId="030E26E4">
      <w:pPr>
        <w:spacing w:line="600" w:lineRule="exact"/>
        <w:ind w:right="17" w:firstLine="480" w:firstLineChars="15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（一）任务来源</w:t>
      </w:r>
    </w:p>
    <w:p w14:paraId="47EBAFA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按照山西省市场监督管理局</w:t>
      </w:r>
      <w:r>
        <w:rPr>
          <w:rFonts w:hint="eastAsia" w:ascii="仿宋_GB2312" w:hAnsi="仿宋_GB2312" w:eastAsia="仿宋_GB2312" w:cs="仿宋_GB2312"/>
          <w:kern w:val="0"/>
          <w:sz w:val="32"/>
          <w:szCs w:val="32"/>
        </w:rPr>
        <w:t>《关于印发《</w:t>
      </w:r>
      <w:r>
        <w:rPr>
          <w:rFonts w:hint="eastAsia" w:ascii="仿宋_GB2312" w:hAnsi="仿宋_GB2312" w:eastAsia="仿宋_GB2312" w:cs="仿宋_GB2312"/>
          <w:kern w:val="0"/>
          <w:sz w:val="32"/>
          <w:szCs w:val="32"/>
          <w:lang w:val="en-US" w:eastAsia="zh-CN"/>
        </w:rPr>
        <w:t>2023年省级地方标准立项指南</w:t>
      </w:r>
      <w:r>
        <w:rPr>
          <w:rFonts w:hint="eastAsia" w:ascii="仿宋_GB2312" w:hAnsi="仿宋_GB2312" w:eastAsia="仿宋_GB2312" w:cs="仿宋_GB2312"/>
          <w:kern w:val="0"/>
          <w:sz w:val="32"/>
          <w:szCs w:val="32"/>
        </w:rPr>
        <w:t>》的</w:t>
      </w:r>
      <w:r>
        <w:rPr>
          <w:rFonts w:hint="eastAsia" w:ascii="仿宋_GB2312" w:hAnsi="仿宋_GB2312" w:eastAsia="仿宋_GB2312" w:cs="仿宋_GB2312"/>
          <w:kern w:val="0"/>
          <w:sz w:val="32"/>
          <w:szCs w:val="32"/>
          <w:lang w:val="en-US" w:eastAsia="zh-CN"/>
        </w:rPr>
        <w:t>通知</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晋市监发〔</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3〕12</w:t>
      </w:r>
      <w:r>
        <w:rPr>
          <w:rFonts w:hint="eastAsia" w:ascii="仿宋_GB2312" w:hAnsi="仿宋_GB2312" w:eastAsia="仿宋_GB2312" w:cs="仿宋_GB2312"/>
          <w:kern w:val="0"/>
          <w:sz w:val="32"/>
          <w:szCs w:val="32"/>
        </w:rPr>
        <w:t>号）</w:t>
      </w:r>
      <w:r>
        <w:rPr>
          <w:rFonts w:hint="eastAsia" w:ascii="仿宋_GB2312" w:hAnsi="仿宋_GB2312" w:eastAsia="仿宋_GB2312" w:cs="仿宋_GB2312"/>
          <w:kern w:val="0"/>
          <w:sz w:val="32"/>
          <w:szCs w:val="32"/>
          <w:lang w:val="en-US" w:eastAsia="zh-CN"/>
        </w:rPr>
        <w:t>要求</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立足我省渔业资源禀赋，紧紧围绕设施渔业发展和养殖品种结构优化调整需求，加强渔业科技成果转化，推动集成创新技术和应用形成标准，助力我省渔业高质量发展，由山西省农业农村厅提出和实施监督，由山西省检验检测中心、神农科技集团有限公司、山西省水产技术推广服务中心为主要起草单位的地方标准立项。</w:t>
      </w:r>
    </w:p>
    <w:p w14:paraId="047F4C50">
      <w:pPr>
        <w:spacing w:line="600" w:lineRule="exact"/>
        <w:ind w:right="17" w:firstLine="480" w:firstLineChars="15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二</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起草单位和主要起草人</w:t>
      </w:r>
    </w:p>
    <w:p w14:paraId="28079D2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本文件起草单位为山西省检验检测中心（山西省标准计量技术研究院）。主要起草人信息详见表1.</w:t>
      </w:r>
    </w:p>
    <w:p w14:paraId="30A4DE48">
      <w:pPr>
        <w:keepNext w:val="0"/>
        <w:keepLines w:val="0"/>
        <w:pageBreakBefore w:val="0"/>
        <w:widowControl w:val="0"/>
        <w:kinsoku/>
        <w:wordWrap/>
        <w:overflowPunct/>
        <w:topLinePunct w:val="0"/>
        <w:autoSpaceDE/>
        <w:autoSpaceDN/>
        <w:bidi w:val="0"/>
        <w:adjustRightInd/>
        <w:snapToGrid/>
        <w:spacing w:after="157" w:afterLines="50" w:line="600" w:lineRule="exact"/>
        <w:ind w:right="17"/>
        <w:jc w:val="center"/>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表1</w:t>
      </w:r>
      <w:r>
        <w:rPr>
          <w:rFonts w:hint="eastAsia" w:ascii="黑体" w:hAnsi="黑体" w:eastAsia="黑体" w:cs="黑体"/>
          <w:b w:val="0"/>
          <w:bCs/>
          <w:sz w:val="32"/>
          <w:szCs w:val="32"/>
          <w:lang w:eastAsia="zh-CN"/>
        </w:rPr>
        <w:t>主要起草人信息表</w:t>
      </w:r>
    </w:p>
    <w:tbl>
      <w:tblPr>
        <w:tblStyle w:val="8"/>
        <w:tblW w:w="949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780"/>
        <w:gridCol w:w="1710"/>
        <w:gridCol w:w="3495"/>
        <w:gridCol w:w="2400"/>
      </w:tblGrid>
      <w:tr w14:paraId="3382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tcPr>
          <w:p w14:paraId="6BE72F45">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姓名</w:t>
            </w:r>
          </w:p>
        </w:tc>
        <w:tc>
          <w:tcPr>
            <w:tcW w:w="780" w:type="dxa"/>
          </w:tcPr>
          <w:p w14:paraId="4A92F928">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性别</w:t>
            </w:r>
          </w:p>
        </w:tc>
        <w:tc>
          <w:tcPr>
            <w:tcW w:w="1710" w:type="dxa"/>
          </w:tcPr>
          <w:p w14:paraId="26999477">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职务</w:t>
            </w:r>
            <w:r>
              <w:rPr>
                <w:rFonts w:hint="eastAsia" w:ascii="楷体_GB2312" w:hAnsi="宋体" w:eastAsia="楷体_GB2312"/>
                <w:b/>
                <w:sz w:val="24"/>
                <w:szCs w:val="24"/>
                <w:vertAlign w:val="baseline"/>
                <w:lang w:val="en-US" w:eastAsia="zh-CN"/>
              </w:rPr>
              <w:t>/</w:t>
            </w:r>
            <w:r>
              <w:rPr>
                <w:rFonts w:hint="eastAsia" w:ascii="楷体_GB2312" w:hAnsi="宋体" w:eastAsia="楷体_GB2312"/>
                <w:b/>
                <w:sz w:val="24"/>
                <w:szCs w:val="24"/>
                <w:vertAlign w:val="baseline"/>
                <w:lang w:eastAsia="zh-CN"/>
              </w:rPr>
              <w:t>职称</w:t>
            </w:r>
          </w:p>
        </w:tc>
        <w:tc>
          <w:tcPr>
            <w:tcW w:w="3495" w:type="dxa"/>
          </w:tcPr>
          <w:p w14:paraId="1A30F386">
            <w:pPr>
              <w:spacing w:line="600" w:lineRule="exact"/>
              <w:ind w:right="17"/>
              <w:jc w:val="center"/>
              <w:rPr>
                <w:rFonts w:hint="default"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val="en-US" w:eastAsia="zh-CN"/>
              </w:rPr>
              <w:t>工作单位</w:t>
            </w:r>
          </w:p>
        </w:tc>
        <w:tc>
          <w:tcPr>
            <w:tcW w:w="2400" w:type="dxa"/>
          </w:tcPr>
          <w:p w14:paraId="05C1B4F7">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任务分工</w:t>
            </w:r>
          </w:p>
        </w:tc>
      </w:tr>
      <w:tr w14:paraId="1214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1448005D">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楷体_GB2312" w:hAnsi="宋体" w:eastAsia="楷体_GB2312"/>
                <w:b/>
                <w:sz w:val="24"/>
                <w:szCs w:val="24"/>
                <w:vertAlign w:val="baseline"/>
                <w:lang w:eastAsia="zh-CN"/>
              </w:rPr>
            </w:pPr>
            <w:r>
              <w:rPr>
                <w:rFonts w:hint="eastAsia" w:ascii="仿宋_GB2312" w:hAnsi="仿宋_GB2312" w:eastAsia="仿宋_GB2312" w:cs="仿宋_GB2312"/>
                <w:kern w:val="0"/>
                <w:sz w:val="24"/>
                <w:szCs w:val="24"/>
                <w:lang w:val="en-US" w:eastAsia="zh-CN"/>
              </w:rPr>
              <w:t>武  栋</w:t>
            </w:r>
          </w:p>
        </w:tc>
        <w:tc>
          <w:tcPr>
            <w:tcW w:w="780" w:type="dxa"/>
            <w:vAlign w:val="center"/>
          </w:tcPr>
          <w:p w14:paraId="56FEC61F">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楷体_GB2312" w:hAnsi="宋体" w:eastAsia="楷体_GB2312"/>
                <w:b/>
                <w:sz w:val="24"/>
                <w:szCs w:val="24"/>
                <w:vertAlign w:val="baseline"/>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57281E68">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楷体_GB2312" w:hAnsi="宋体" w:eastAsia="楷体_GB2312"/>
                <w:b/>
                <w:sz w:val="24"/>
                <w:szCs w:val="24"/>
                <w:vertAlign w:val="baseline"/>
                <w:lang w:val="en-US" w:eastAsia="zh-CN"/>
              </w:rPr>
            </w:pPr>
            <w:r>
              <w:rPr>
                <w:rFonts w:hint="eastAsia" w:ascii="仿宋_GB2312" w:hAnsi="仿宋_GB2312" w:eastAsia="仿宋_GB2312" w:cs="仿宋_GB2312"/>
                <w:kern w:val="0"/>
                <w:sz w:val="24"/>
                <w:szCs w:val="24"/>
                <w:lang w:val="en-US" w:eastAsia="zh-CN"/>
              </w:rPr>
              <w:t>高级工程师</w:t>
            </w:r>
          </w:p>
        </w:tc>
        <w:tc>
          <w:tcPr>
            <w:tcW w:w="3495" w:type="dxa"/>
            <w:vAlign w:val="center"/>
          </w:tcPr>
          <w:p w14:paraId="2616289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山西省检验检测中心</w:t>
            </w:r>
          </w:p>
          <w:p w14:paraId="2E2DFCA3">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楷体_GB2312" w:hAnsi="宋体" w:eastAsia="楷体_GB2312"/>
                <w:b/>
                <w:sz w:val="24"/>
                <w:szCs w:val="24"/>
                <w:vertAlign w:val="baseline"/>
                <w:lang w:eastAsia="zh-CN"/>
              </w:rPr>
            </w:pPr>
            <w:r>
              <w:rPr>
                <w:rFonts w:hint="eastAsia" w:ascii="仿宋_GB2312" w:hAnsi="仿宋_GB2312" w:eastAsia="仿宋_GB2312" w:cs="仿宋_GB2312"/>
                <w:kern w:val="0"/>
                <w:sz w:val="24"/>
                <w:szCs w:val="24"/>
                <w:lang w:val="en-US" w:eastAsia="zh-CN"/>
              </w:rPr>
              <w:t>（山西省标准计量技术研究院）</w:t>
            </w:r>
          </w:p>
        </w:tc>
        <w:tc>
          <w:tcPr>
            <w:tcW w:w="2400" w:type="dxa"/>
            <w:vAlign w:val="center"/>
          </w:tcPr>
          <w:p w14:paraId="6BF6ACD7">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楷体_GB2312" w:hAnsi="宋体" w:eastAsia="楷体_GB2312"/>
                <w:b/>
                <w:sz w:val="24"/>
                <w:szCs w:val="24"/>
                <w:vertAlign w:val="baseline"/>
                <w:lang w:val="en-US" w:eastAsia="zh-CN"/>
              </w:rPr>
            </w:pPr>
            <w:r>
              <w:rPr>
                <w:rFonts w:hint="eastAsia" w:ascii="仿宋_GB2312" w:hAnsi="仿宋_GB2312" w:eastAsia="仿宋_GB2312" w:cs="仿宋_GB2312"/>
                <w:kern w:val="0"/>
                <w:sz w:val="24"/>
                <w:szCs w:val="24"/>
                <w:lang w:val="en-US" w:eastAsia="zh-CN"/>
              </w:rPr>
              <w:t>总体负责文本编制、征求意见讨论和修改</w:t>
            </w:r>
          </w:p>
        </w:tc>
      </w:tr>
      <w:tr w14:paraId="4C89F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7AA0C20E">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毋占勇</w:t>
            </w:r>
          </w:p>
        </w:tc>
        <w:tc>
          <w:tcPr>
            <w:tcW w:w="780" w:type="dxa"/>
            <w:vAlign w:val="center"/>
          </w:tcPr>
          <w:p w14:paraId="64EDFDE2">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1C7045B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高级畜牧师</w:t>
            </w:r>
          </w:p>
        </w:tc>
        <w:tc>
          <w:tcPr>
            <w:tcW w:w="3495" w:type="dxa"/>
            <w:vAlign w:val="center"/>
          </w:tcPr>
          <w:p w14:paraId="7B9DFF8D">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神农科技集团有限公司</w:t>
            </w:r>
          </w:p>
        </w:tc>
        <w:tc>
          <w:tcPr>
            <w:tcW w:w="2400" w:type="dxa"/>
            <w:vAlign w:val="center"/>
          </w:tcPr>
          <w:p w14:paraId="0B0BE99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协同负责文本编制和编制说明的补充完善</w:t>
            </w:r>
          </w:p>
        </w:tc>
      </w:tr>
      <w:tr w14:paraId="7565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332BC0D1">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李晓东</w:t>
            </w:r>
          </w:p>
        </w:tc>
        <w:tc>
          <w:tcPr>
            <w:tcW w:w="780" w:type="dxa"/>
            <w:vAlign w:val="center"/>
          </w:tcPr>
          <w:p w14:paraId="2A91FEE4">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39869B9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高级工程师</w:t>
            </w:r>
          </w:p>
        </w:tc>
        <w:tc>
          <w:tcPr>
            <w:tcW w:w="3495" w:type="dxa"/>
            <w:vAlign w:val="center"/>
          </w:tcPr>
          <w:p w14:paraId="48885153">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山西省水产技术推广服务中心</w:t>
            </w:r>
          </w:p>
        </w:tc>
        <w:tc>
          <w:tcPr>
            <w:tcW w:w="2400" w:type="dxa"/>
            <w:vAlign w:val="center"/>
          </w:tcPr>
          <w:p w14:paraId="69087A6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文本修订和养殖管理技术印证</w:t>
            </w:r>
          </w:p>
        </w:tc>
      </w:tr>
      <w:tr w14:paraId="3158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0BFDC30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赵瑞亮</w:t>
            </w:r>
          </w:p>
        </w:tc>
        <w:tc>
          <w:tcPr>
            <w:tcW w:w="780" w:type="dxa"/>
            <w:vAlign w:val="center"/>
          </w:tcPr>
          <w:p w14:paraId="2D3AD311">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59C3B777">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高级工程师</w:t>
            </w:r>
          </w:p>
        </w:tc>
        <w:tc>
          <w:tcPr>
            <w:tcW w:w="3495" w:type="dxa"/>
            <w:vAlign w:val="center"/>
          </w:tcPr>
          <w:p w14:paraId="7E5E5B95">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山西省水产技术推广服务中心</w:t>
            </w:r>
          </w:p>
        </w:tc>
        <w:tc>
          <w:tcPr>
            <w:tcW w:w="2400" w:type="dxa"/>
            <w:vAlign w:val="center"/>
          </w:tcPr>
          <w:p w14:paraId="6CE271E5">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养殖设施参数印证</w:t>
            </w:r>
          </w:p>
        </w:tc>
      </w:tr>
      <w:tr w14:paraId="2230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2ECD2EC6">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刘  峰</w:t>
            </w:r>
          </w:p>
        </w:tc>
        <w:tc>
          <w:tcPr>
            <w:tcW w:w="780" w:type="dxa"/>
            <w:vAlign w:val="center"/>
          </w:tcPr>
          <w:p w14:paraId="01FDADA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386237D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农艺师</w:t>
            </w:r>
          </w:p>
        </w:tc>
        <w:tc>
          <w:tcPr>
            <w:tcW w:w="3495" w:type="dxa"/>
            <w:vAlign w:val="center"/>
          </w:tcPr>
          <w:p w14:paraId="4517DBBD">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神农科技集团有限公司</w:t>
            </w:r>
          </w:p>
        </w:tc>
        <w:tc>
          <w:tcPr>
            <w:tcW w:w="2400" w:type="dxa"/>
            <w:vAlign w:val="center"/>
          </w:tcPr>
          <w:p w14:paraId="398D8B0E">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楷体_GB2312" w:hAnsi="宋体" w:eastAsia="楷体_GB2312"/>
                <w:b/>
                <w:sz w:val="24"/>
                <w:szCs w:val="24"/>
                <w:vertAlign w:val="baseline"/>
                <w:lang w:val="en-US" w:eastAsia="zh-CN"/>
              </w:rPr>
            </w:pPr>
            <w:r>
              <w:rPr>
                <w:rFonts w:hint="eastAsia" w:ascii="仿宋_GB2312" w:hAnsi="仿宋_GB2312" w:eastAsia="仿宋_GB2312" w:cs="仿宋_GB2312"/>
                <w:kern w:val="0"/>
                <w:sz w:val="24"/>
                <w:szCs w:val="24"/>
                <w:lang w:val="en-US" w:eastAsia="zh-CN"/>
              </w:rPr>
              <w:t>资料收集汇总</w:t>
            </w:r>
          </w:p>
        </w:tc>
      </w:tr>
      <w:tr w14:paraId="3AE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6DE930C7">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曹  庆</w:t>
            </w:r>
          </w:p>
        </w:tc>
        <w:tc>
          <w:tcPr>
            <w:tcW w:w="780" w:type="dxa"/>
            <w:vAlign w:val="center"/>
          </w:tcPr>
          <w:p w14:paraId="0F554BC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女</w:t>
            </w:r>
          </w:p>
        </w:tc>
        <w:tc>
          <w:tcPr>
            <w:tcW w:w="1710" w:type="dxa"/>
            <w:vAlign w:val="center"/>
          </w:tcPr>
          <w:p w14:paraId="6185A2B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局长</w:t>
            </w:r>
          </w:p>
        </w:tc>
        <w:tc>
          <w:tcPr>
            <w:tcW w:w="3495" w:type="dxa"/>
            <w:vAlign w:val="center"/>
          </w:tcPr>
          <w:p w14:paraId="2BAFADE6">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山西省农产品质量安全监管局</w:t>
            </w:r>
          </w:p>
        </w:tc>
        <w:tc>
          <w:tcPr>
            <w:tcW w:w="2400" w:type="dxa"/>
            <w:vAlign w:val="center"/>
          </w:tcPr>
          <w:p w14:paraId="3E329A6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文件编制指导</w:t>
            </w:r>
          </w:p>
        </w:tc>
      </w:tr>
      <w:tr w14:paraId="1795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38410AD2">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朱国清</w:t>
            </w:r>
          </w:p>
        </w:tc>
        <w:tc>
          <w:tcPr>
            <w:tcW w:w="780" w:type="dxa"/>
            <w:vAlign w:val="center"/>
          </w:tcPr>
          <w:p w14:paraId="1FE56EF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23EED00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正高级工程师</w:t>
            </w:r>
          </w:p>
        </w:tc>
        <w:tc>
          <w:tcPr>
            <w:tcW w:w="3495" w:type="dxa"/>
            <w:vAlign w:val="center"/>
          </w:tcPr>
          <w:p w14:paraId="79ABF27D">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山西省水产技术推广服务中心</w:t>
            </w:r>
          </w:p>
        </w:tc>
        <w:tc>
          <w:tcPr>
            <w:tcW w:w="2400" w:type="dxa"/>
            <w:vAlign w:val="center"/>
          </w:tcPr>
          <w:p w14:paraId="07EDF5F5">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文件编制指导</w:t>
            </w:r>
          </w:p>
        </w:tc>
      </w:tr>
      <w:tr w14:paraId="5CE4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6375294C">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侯丽丽</w:t>
            </w:r>
          </w:p>
        </w:tc>
        <w:tc>
          <w:tcPr>
            <w:tcW w:w="780" w:type="dxa"/>
            <w:vAlign w:val="center"/>
          </w:tcPr>
          <w:p w14:paraId="73E3138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女</w:t>
            </w:r>
          </w:p>
        </w:tc>
        <w:tc>
          <w:tcPr>
            <w:tcW w:w="1710" w:type="dxa"/>
            <w:vAlign w:val="center"/>
          </w:tcPr>
          <w:p w14:paraId="52D1E7BD">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正高级兽医师</w:t>
            </w:r>
          </w:p>
        </w:tc>
        <w:tc>
          <w:tcPr>
            <w:tcW w:w="3495" w:type="dxa"/>
            <w:vAlign w:val="center"/>
          </w:tcPr>
          <w:p w14:paraId="6EF91AF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山西省检验检测中心</w:t>
            </w:r>
          </w:p>
          <w:p w14:paraId="58B1E95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（山西省标准计量技术研究院）</w:t>
            </w:r>
          </w:p>
        </w:tc>
        <w:tc>
          <w:tcPr>
            <w:tcW w:w="2400" w:type="dxa"/>
            <w:vAlign w:val="center"/>
          </w:tcPr>
          <w:p w14:paraId="7904E924">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负责文本校对</w:t>
            </w:r>
          </w:p>
        </w:tc>
      </w:tr>
      <w:tr w14:paraId="45D1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675196D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宋  辉</w:t>
            </w:r>
          </w:p>
        </w:tc>
        <w:tc>
          <w:tcPr>
            <w:tcW w:w="780" w:type="dxa"/>
            <w:vAlign w:val="center"/>
          </w:tcPr>
          <w:p w14:paraId="403DCE66">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男</w:t>
            </w:r>
          </w:p>
        </w:tc>
        <w:tc>
          <w:tcPr>
            <w:tcW w:w="1710" w:type="dxa"/>
            <w:vAlign w:val="center"/>
          </w:tcPr>
          <w:p w14:paraId="0AE03E6E">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工程师</w:t>
            </w:r>
          </w:p>
        </w:tc>
        <w:tc>
          <w:tcPr>
            <w:tcW w:w="3495" w:type="dxa"/>
            <w:vAlign w:val="center"/>
          </w:tcPr>
          <w:p w14:paraId="7A9C62F0">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万家寨水控水产开发有限公司</w:t>
            </w:r>
          </w:p>
        </w:tc>
        <w:tc>
          <w:tcPr>
            <w:tcW w:w="2400" w:type="dxa"/>
            <w:vAlign w:val="center"/>
          </w:tcPr>
          <w:p w14:paraId="0BEC53B7">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养殖设施参数印证</w:t>
            </w:r>
          </w:p>
        </w:tc>
      </w:tr>
      <w:tr w14:paraId="753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3D50D44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胡长静</w:t>
            </w:r>
          </w:p>
        </w:tc>
        <w:tc>
          <w:tcPr>
            <w:tcW w:w="780" w:type="dxa"/>
            <w:vAlign w:val="center"/>
          </w:tcPr>
          <w:p w14:paraId="1232F799">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女</w:t>
            </w:r>
          </w:p>
        </w:tc>
        <w:tc>
          <w:tcPr>
            <w:tcW w:w="1710" w:type="dxa"/>
            <w:vAlign w:val="center"/>
          </w:tcPr>
          <w:p w14:paraId="5C1ED30B">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工程师</w:t>
            </w:r>
          </w:p>
        </w:tc>
        <w:tc>
          <w:tcPr>
            <w:tcW w:w="3495" w:type="dxa"/>
            <w:vAlign w:val="center"/>
          </w:tcPr>
          <w:p w14:paraId="155C7327">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山西省检验检测中心</w:t>
            </w:r>
          </w:p>
          <w:p w14:paraId="2DE4F501">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（山西省标准计量技术研究院）</w:t>
            </w:r>
          </w:p>
        </w:tc>
        <w:tc>
          <w:tcPr>
            <w:tcW w:w="2400" w:type="dxa"/>
            <w:vAlign w:val="center"/>
          </w:tcPr>
          <w:p w14:paraId="42A810D5">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负责编制说明校对</w:t>
            </w:r>
          </w:p>
        </w:tc>
      </w:tr>
      <w:tr w14:paraId="65CC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10" w:type="dxa"/>
            <w:vAlign w:val="center"/>
          </w:tcPr>
          <w:p w14:paraId="2CC9D40F">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刘少贞</w:t>
            </w:r>
          </w:p>
        </w:tc>
        <w:tc>
          <w:tcPr>
            <w:tcW w:w="780" w:type="dxa"/>
            <w:vAlign w:val="center"/>
          </w:tcPr>
          <w:p w14:paraId="37F957CF">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女</w:t>
            </w:r>
          </w:p>
        </w:tc>
        <w:tc>
          <w:tcPr>
            <w:tcW w:w="1710" w:type="dxa"/>
            <w:vAlign w:val="center"/>
          </w:tcPr>
          <w:p w14:paraId="4CCFB813">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教授</w:t>
            </w:r>
          </w:p>
        </w:tc>
        <w:tc>
          <w:tcPr>
            <w:tcW w:w="3495" w:type="dxa"/>
            <w:vAlign w:val="center"/>
          </w:tcPr>
          <w:p w14:paraId="31DF9EA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山西农业大学</w:t>
            </w:r>
          </w:p>
        </w:tc>
        <w:tc>
          <w:tcPr>
            <w:tcW w:w="2400" w:type="dxa"/>
            <w:vAlign w:val="center"/>
          </w:tcPr>
          <w:p w14:paraId="23332ADA">
            <w:pPr>
              <w:keepNext w:val="0"/>
              <w:keepLines w:val="0"/>
              <w:pageBreakBefore w:val="0"/>
              <w:widowControl w:val="0"/>
              <w:kinsoku/>
              <w:wordWrap/>
              <w:overflowPunct/>
              <w:topLinePunct w:val="0"/>
              <w:autoSpaceDE/>
              <w:autoSpaceDN/>
              <w:bidi w:val="0"/>
              <w:adjustRightInd/>
              <w:snapToGrid/>
              <w:spacing w:line="400" w:lineRule="exact"/>
              <w:ind w:right="17"/>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水体环境参数印证</w:t>
            </w:r>
          </w:p>
        </w:tc>
      </w:tr>
    </w:tbl>
    <w:p w14:paraId="61CD414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lang w:eastAsia="zh-CN"/>
        </w:rPr>
        <w:t>制定标准的必要性和意义</w:t>
      </w:r>
    </w:p>
    <w:p w14:paraId="787FD31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bookmarkStart w:id="0" w:name="_Toc28864144"/>
      <w:bookmarkStart w:id="1" w:name="_Toc29816776"/>
      <w:bookmarkStart w:id="2" w:name="_Toc13685"/>
      <w:r>
        <w:rPr>
          <w:rFonts w:hint="eastAsia" w:ascii="楷体_GB2312" w:hAnsi="楷体_GB2312" w:eastAsia="楷体_GB2312" w:cs="楷体_GB2312"/>
          <w:b w:val="0"/>
          <w:bCs w:val="0"/>
          <w:kern w:val="0"/>
          <w:sz w:val="32"/>
          <w:szCs w:val="32"/>
          <w:lang w:val="en-US" w:eastAsia="zh-CN"/>
        </w:rPr>
        <w:t>（一）符合国家</w:t>
      </w:r>
      <w:bookmarkEnd w:id="0"/>
      <w:bookmarkEnd w:id="1"/>
      <w:r>
        <w:rPr>
          <w:rFonts w:hint="eastAsia" w:ascii="楷体_GB2312" w:hAnsi="楷体_GB2312" w:eastAsia="楷体_GB2312" w:cs="楷体_GB2312"/>
          <w:b w:val="0"/>
          <w:bCs w:val="0"/>
          <w:kern w:val="0"/>
          <w:sz w:val="32"/>
          <w:szCs w:val="32"/>
          <w:lang w:val="en-US" w:eastAsia="zh-CN"/>
        </w:rPr>
        <w:t>、我省对渔业发展的相关要求</w:t>
      </w:r>
      <w:bookmarkEnd w:id="2"/>
      <w:r>
        <w:rPr>
          <w:rFonts w:hint="eastAsia" w:ascii="楷体_GB2312" w:hAnsi="楷体_GB2312" w:eastAsia="楷体_GB2312" w:cs="楷体_GB2312"/>
          <w:b w:val="0"/>
          <w:bCs w:val="0"/>
          <w:kern w:val="0"/>
          <w:sz w:val="32"/>
          <w:szCs w:val="32"/>
          <w:lang w:val="en-US" w:eastAsia="zh-CN"/>
        </w:rPr>
        <w:t>。</w:t>
      </w:r>
      <w:r>
        <w:rPr>
          <w:rFonts w:hint="default" w:ascii="仿宋_GB2312" w:hAnsi="仿宋_GB2312" w:eastAsia="仿宋_GB2312" w:cs="仿宋_GB2312"/>
          <w:kern w:val="0"/>
          <w:sz w:val="32"/>
          <w:szCs w:val="32"/>
          <w:lang w:val="en-US" w:eastAsia="zh-CN"/>
        </w:rPr>
        <w:t>2019年农业农村部等十部委</w:t>
      </w:r>
      <w:r>
        <w:rPr>
          <w:rFonts w:hint="eastAsia" w:ascii="仿宋_GB2312" w:hAnsi="仿宋_GB2312" w:eastAsia="仿宋_GB2312" w:cs="仿宋_GB2312"/>
          <w:kern w:val="0"/>
          <w:sz w:val="32"/>
          <w:szCs w:val="32"/>
          <w:lang w:val="en-US" w:eastAsia="zh-CN"/>
        </w:rPr>
        <w:t>联合</w:t>
      </w:r>
      <w:r>
        <w:rPr>
          <w:rFonts w:hint="default" w:ascii="仿宋_GB2312" w:hAnsi="仿宋_GB2312" w:eastAsia="仿宋_GB2312" w:cs="仿宋_GB2312"/>
          <w:kern w:val="0"/>
          <w:sz w:val="32"/>
          <w:szCs w:val="32"/>
          <w:lang w:val="en-US" w:eastAsia="zh-CN"/>
        </w:rPr>
        <w:t>印发了《关于加快推进水产养殖绿色发展的若干意见》（农渔发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1号），《意见》提出：鼓励选育推广优质、高效、多抗、安全的水产养殖新品种</w:t>
      </w:r>
      <w:r>
        <w:rPr>
          <w:rFonts w:hint="eastAsia" w:ascii="仿宋_GB2312" w:hAnsi="仿宋_GB2312" w:eastAsia="仿宋_GB2312" w:cs="仿宋_GB2312"/>
          <w:kern w:val="0"/>
          <w:sz w:val="32"/>
          <w:szCs w:val="32"/>
          <w:lang w:val="en-US" w:eastAsia="zh-CN"/>
        </w:rPr>
        <w:t>；积极开展绿色养殖技术模式集成和示范推广；支持工厂化循环水、养殖尾水和废弃物处理等环保设施用地。</w:t>
      </w:r>
      <w:r>
        <w:rPr>
          <w:rFonts w:hint="default" w:ascii="仿宋_GB2312" w:hAnsi="仿宋_GB2312" w:eastAsia="仿宋_GB2312" w:cs="仿宋_GB2312"/>
          <w:kern w:val="0"/>
          <w:sz w:val="32"/>
          <w:szCs w:val="32"/>
          <w:lang w:val="en-US" w:eastAsia="zh-CN"/>
        </w:rPr>
        <w:t>2020山西省农业农村厅等十部门</w:t>
      </w:r>
      <w:r>
        <w:rPr>
          <w:rFonts w:hint="eastAsia" w:ascii="仿宋_GB2312" w:hAnsi="仿宋_GB2312" w:eastAsia="仿宋_GB2312" w:cs="仿宋_GB2312"/>
          <w:kern w:val="0"/>
          <w:sz w:val="32"/>
          <w:szCs w:val="32"/>
          <w:lang w:val="en-US" w:eastAsia="zh-CN"/>
        </w:rPr>
        <w:t>联合</w:t>
      </w:r>
      <w:r>
        <w:rPr>
          <w:rFonts w:hint="default" w:ascii="仿宋_GB2312" w:hAnsi="仿宋_GB2312" w:eastAsia="仿宋_GB2312" w:cs="仿宋_GB2312"/>
          <w:kern w:val="0"/>
          <w:sz w:val="32"/>
          <w:szCs w:val="32"/>
          <w:lang w:val="en-US" w:eastAsia="zh-CN"/>
        </w:rPr>
        <w:t>印发了《关于加快推进水产养殖业绿色发展的实施意见》（晋农垦渔发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2020</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3号），《意见》提出：科学合理开发宜渔滩涂，大力发展生态健康养殖和工程化、工厂化等循环水生态养殖</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2022年山西省农业农村厅印发了《山西省农业农村厅关于印发“十四五”山西省渔业发展规划的通知》（晋农垦渔发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2022</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4号），《规划》提出：</w:t>
      </w:r>
      <w:r>
        <w:rPr>
          <w:rFonts w:hint="eastAsia" w:ascii="仿宋_GB2312" w:hAnsi="仿宋_GB2312" w:eastAsia="仿宋_GB2312" w:cs="仿宋_GB2312"/>
          <w:kern w:val="0"/>
          <w:sz w:val="32"/>
          <w:szCs w:val="32"/>
          <w:lang w:val="en-US" w:eastAsia="zh-CN"/>
        </w:rPr>
        <w:t>到2025年，发展大棚鱼菜综合种养系统5000套以上；结合设施农业发展，推广示范我省特色大棚鱼菜综合种养技术模式；合理布局、稳妥发展大棚鱼菜综合种养，将大棚鱼菜综合种养打造成我省技术先进、生态和谐、特色鲜明的新型养殖业态；加快发展池塘标准化养殖、工厂化循环水养殖、稻（莲）渔、鱼菜综合种养、大水面增殖等生态健康养殖模式；多渠道推进重要养殖种质资源引进，启动实施水产养殖引进种品种创新，鼓励和支持科研人员以多种方式参与企业研发，全面提升水产良种质量。</w:t>
      </w:r>
    </w:p>
    <w:p w14:paraId="0617485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bookmarkStart w:id="3" w:name="_Toc26849"/>
      <w:r>
        <w:rPr>
          <w:rFonts w:hint="eastAsia" w:ascii="楷体_GB2312" w:hAnsi="楷体_GB2312" w:eastAsia="楷体_GB2312" w:cs="楷体_GB2312"/>
          <w:b w:val="0"/>
          <w:bCs w:val="0"/>
          <w:kern w:val="0"/>
          <w:sz w:val="32"/>
          <w:szCs w:val="32"/>
          <w:lang w:val="en-US" w:eastAsia="zh-CN"/>
        </w:rPr>
        <w:t>（二）可有效推动我省传统水产养殖模式转型升级</w:t>
      </w:r>
      <w:bookmarkEnd w:id="3"/>
      <w:r>
        <w:rPr>
          <w:rFonts w:hint="eastAsia" w:ascii="楷体_GB2312" w:hAnsi="楷体_GB2312" w:eastAsia="楷体_GB2312" w:cs="楷体_GB2312"/>
          <w:b w:val="0"/>
          <w:bCs w:val="0"/>
          <w:kern w:val="0"/>
          <w:sz w:val="32"/>
          <w:szCs w:val="32"/>
          <w:lang w:val="en-US" w:eastAsia="zh-CN"/>
        </w:rPr>
        <w:t>。</w:t>
      </w:r>
      <w:r>
        <w:rPr>
          <w:rFonts w:hint="eastAsia" w:ascii="仿宋_GB2312" w:hAnsi="仿宋_GB2312" w:eastAsia="仿宋_GB2312" w:cs="仿宋_GB2312"/>
          <w:b w:val="0"/>
          <w:bCs w:val="0"/>
          <w:kern w:val="0"/>
          <w:sz w:val="32"/>
          <w:szCs w:val="32"/>
          <w:lang w:val="en-US" w:eastAsia="zh-CN"/>
        </w:rPr>
        <w:t>我省</w:t>
      </w:r>
      <w:r>
        <w:rPr>
          <w:rFonts w:hint="eastAsia" w:ascii="仿宋_GB2312" w:hAnsi="仿宋_GB2312" w:eastAsia="仿宋_GB2312" w:cs="仿宋_GB2312"/>
          <w:b w:val="0"/>
          <w:bCs w:val="0"/>
          <w:sz w:val="32"/>
          <w:szCs w:val="32"/>
          <w:lang w:val="en-US" w:eastAsia="zh-CN"/>
        </w:rPr>
        <w:t>渔</w:t>
      </w:r>
      <w:r>
        <w:rPr>
          <w:rFonts w:hint="eastAsia" w:ascii="仿宋_GB2312" w:hAnsi="仿宋_GB2312" w:eastAsia="仿宋_GB2312" w:cs="仿宋_GB2312"/>
          <w:sz w:val="32"/>
          <w:szCs w:val="32"/>
          <w:lang w:val="en-US" w:eastAsia="zh-CN"/>
        </w:rPr>
        <w:t>业发展南北不均衡，水产养殖以传统的池塘养殖为主，设施化程度较低，水资源利用率不高。渔业高质量发展面临着资源与环境刚性约束越来越强、养殖品种结构调整滞后、传统养殖品种效益不高、品牌影响力不够等突出问题。发展设施渔业，利用有限的淡水资源生产更多的水产品，是促进渔业增效、渔民增收、渔区稳定的重要途径，符合我省资源现状。“十四五”以来，我省渔业在温室大棚的基础上大力推进包括大棚鱼菜综合种养、鱼菜共生、工厂化循环水等模式发展，但是随着设施渔业工程的迅速推进，与之配套的养殖品种和相关养殖技术规范的空白成为制约高质量发展的瓶颈。本规范立足山西“特”“优”资源禀赋，填补了我省资源条件下温室大棚暗纹东方鲀工厂化循环水养殖技术规范的空白，可为我省设施渔业的高质量发展提供坚实的技术支撑。</w:t>
      </w:r>
      <w:bookmarkStart w:id="4" w:name="_Toc32637"/>
      <w:bookmarkStart w:id="5" w:name="_Toc15448"/>
    </w:p>
    <w:p w14:paraId="4240452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val="0"/>
          <w:bCs w:val="0"/>
          <w:sz w:val="32"/>
          <w:szCs w:val="32"/>
          <w:lang w:val="en-US" w:eastAsia="zh-CN"/>
        </w:rPr>
        <w:t>（三）可有效促进我省水产养殖品种结构优化。</w:t>
      </w:r>
      <w:r>
        <w:rPr>
          <w:rFonts w:hint="eastAsia" w:ascii="仿宋_GB2312" w:hAnsi="仿宋_GB2312" w:eastAsia="仿宋_GB2312" w:cs="仿宋_GB2312"/>
          <w:kern w:val="2"/>
          <w:sz w:val="32"/>
          <w:szCs w:val="32"/>
          <w:lang w:val="en-US" w:eastAsia="zh-CN" w:bidi="ar-SA"/>
        </w:rPr>
        <w:t>我省水产养殖品种以传统的大宗淡水品种草鱼、鲤鱼、鲢鳙鱼等为主，名特优水产品总产量不足10%。遴选能够有效满足市场的需求和设施渔业较高的运行费用的具有较高经济附加值的养殖品种，是当前渔业养殖品种结构优化的重点。河豚</w:t>
      </w:r>
      <w:r>
        <w:rPr>
          <w:rFonts w:hint="eastAsia" w:ascii="仿宋_GB2312" w:hAnsi="仿宋_GB2312" w:eastAsia="仿宋_GB2312" w:cs="仿宋_GB2312"/>
          <w:color w:val="000000"/>
          <w:sz w:val="32"/>
          <w:szCs w:val="32"/>
          <w:lang w:val="en-US" w:eastAsia="zh-CN"/>
        </w:rPr>
        <w:t>近两年市场需求一直呈上升趋势，</w:t>
      </w:r>
      <w:r>
        <w:rPr>
          <w:rFonts w:hint="eastAsia" w:ascii="仿宋_GB2312" w:hAnsi="仿宋_GB2312" w:eastAsia="仿宋_GB2312" w:cs="仿宋_GB2312"/>
          <w:sz w:val="32"/>
          <w:szCs w:val="32"/>
        </w:rPr>
        <w:t>河豚养殖</w:t>
      </w:r>
      <w:r>
        <w:rPr>
          <w:rFonts w:hint="eastAsia" w:ascii="仿宋_GB2312" w:hAnsi="仿宋_GB2312" w:eastAsia="仿宋_GB2312" w:cs="仿宋_GB2312"/>
          <w:sz w:val="32"/>
          <w:szCs w:val="32"/>
          <w:lang w:val="en-US" w:eastAsia="zh-CN"/>
        </w:rPr>
        <w:t>现</w:t>
      </w:r>
      <w:r>
        <w:rPr>
          <w:rFonts w:hint="eastAsia" w:ascii="仿宋_GB2312" w:hAnsi="仿宋_GB2312" w:eastAsia="仿宋_GB2312" w:cs="仿宋_GB2312"/>
          <w:sz w:val="32"/>
          <w:szCs w:val="32"/>
        </w:rPr>
        <w:t>成为我国</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一个</w:t>
      </w:r>
      <w:r>
        <w:rPr>
          <w:rFonts w:hint="eastAsia" w:ascii="仿宋_GB2312" w:hAnsi="仿宋_GB2312" w:eastAsia="仿宋_GB2312" w:cs="仿宋_GB2312"/>
          <w:sz w:val="32"/>
          <w:szCs w:val="32"/>
          <w:lang w:val="en-US" w:eastAsia="zh-CN"/>
        </w:rPr>
        <w:t>新兴</w:t>
      </w:r>
      <w:r>
        <w:rPr>
          <w:rFonts w:hint="eastAsia" w:ascii="仿宋_GB2312" w:hAnsi="仿宋_GB2312" w:eastAsia="仿宋_GB2312" w:cs="仿宋_GB2312"/>
          <w:sz w:val="32"/>
          <w:szCs w:val="32"/>
        </w:rPr>
        <w:t>的养殖产业，年产值</w:t>
      </w:r>
      <w:r>
        <w:rPr>
          <w:rFonts w:hint="eastAsia" w:ascii="仿宋_GB2312" w:hAnsi="仿宋_GB2312" w:eastAsia="仿宋_GB2312" w:cs="仿宋_GB2312"/>
          <w:sz w:val="32"/>
          <w:szCs w:val="32"/>
          <w:lang w:val="en-US" w:eastAsia="zh-CN"/>
        </w:rPr>
        <w:t>达</w:t>
      </w:r>
      <w:r>
        <w:rPr>
          <w:rFonts w:hint="eastAsia" w:ascii="仿宋_GB2312" w:hAnsi="仿宋_GB2312" w:eastAsia="仿宋_GB2312" w:cs="仿宋_GB2312"/>
          <w:sz w:val="32"/>
          <w:szCs w:val="32"/>
        </w:rPr>
        <w:t>数十亿</w:t>
      </w:r>
      <w:r>
        <w:rPr>
          <w:rFonts w:hint="eastAsia" w:ascii="仿宋_GB2312" w:hAnsi="仿宋_GB2312" w:eastAsia="仿宋_GB2312" w:cs="仿宋_GB2312"/>
          <w:sz w:val="32"/>
          <w:szCs w:val="32"/>
          <w:lang w:val="en-US" w:eastAsia="zh-CN"/>
        </w:rPr>
        <w:t>元，并且暗纹东方鲀对淡水的适应性强，结合我省大力实施的设施渔业，具有很大的发展潜力，同时标准的制定也可为工厂化循环水养殖模式下其他养殖品种的引进和养殖提供借鉴。</w:t>
      </w:r>
    </w:p>
    <w:bookmarkEnd w:id="4"/>
    <w:bookmarkEnd w:id="5"/>
    <w:p w14:paraId="0FE4472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宋体" w:hAnsi="宋体"/>
          <w:b/>
          <w:sz w:val="32"/>
          <w:szCs w:val="32"/>
          <w:lang w:eastAsia="zh-CN"/>
        </w:rPr>
      </w:pPr>
      <w:r>
        <w:rPr>
          <w:rFonts w:hint="default" w:ascii="仿宋_GB2312" w:hAnsi="仿宋_GB2312" w:eastAsia="仿宋_GB2312" w:cs="仿宋_GB2312"/>
          <w:kern w:val="0"/>
          <w:sz w:val="32"/>
          <w:szCs w:val="32"/>
          <w:lang w:val="en-US" w:eastAsia="zh-CN"/>
        </w:rPr>
        <w:t>随着</w:t>
      </w:r>
      <w:r>
        <w:rPr>
          <w:rFonts w:hint="eastAsia" w:ascii="仿宋_GB2312" w:hAnsi="仿宋_GB2312" w:eastAsia="仿宋_GB2312" w:cs="仿宋_GB2312"/>
          <w:kern w:val="0"/>
          <w:sz w:val="32"/>
          <w:szCs w:val="32"/>
          <w:lang w:val="en-US" w:eastAsia="zh-CN"/>
        </w:rPr>
        <w:t>我省养殖品种结构的调整和设施渔业的快速发展，制定适宜我省渔业资源禀赋的设施渔业养殖标准对推动我省水产养殖业高质量发展具有重大的现实意义。</w:t>
      </w:r>
    </w:p>
    <w:p w14:paraId="3730103F">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主要起草工作过程</w:t>
      </w:r>
    </w:p>
    <w:p w14:paraId="0433327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（一）成立编制组与开题。</w:t>
      </w:r>
      <w:r>
        <w:rPr>
          <w:rFonts w:hint="default" w:ascii="仿宋_GB2312" w:hAnsi="仿宋_GB2312" w:eastAsia="仿宋_GB2312" w:cs="仿宋_GB2312"/>
          <w:kern w:val="0"/>
          <w:sz w:val="32"/>
          <w:szCs w:val="32"/>
          <w:lang w:val="en" w:eastAsia="zh-CN"/>
        </w:rPr>
        <w:t>山西省检验检测中心（</w:t>
      </w:r>
      <w:r>
        <w:rPr>
          <w:rFonts w:hint="default" w:ascii="仿宋_GB2312" w:hAnsi="仿宋_GB2312" w:eastAsia="仿宋_GB2312" w:cs="仿宋_GB2312"/>
          <w:kern w:val="0"/>
          <w:sz w:val="32"/>
          <w:szCs w:val="32"/>
          <w:lang w:val="en-US" w:eastAsia="zh-CN"/>
        </w:rPr>
        <w:t>山西省标准计量技术研究院</w:t>
      </w:r>
      <w:r>
        <w:rPr>
          <w:rFonts w:hint="default" w:ascii="仿宋_GB2312" w:hAnsi="仿宋_GB2312" w:eastAsia="仿宋_GB2312" w:cs="仿宋_GB2312"/>
          <w:kern w:val="0"/>
          <w:sz w:val="32"/>
          <w:szCs w:val="32"/>
          <w:lang w:val="en" w:eastAsia="zh-CN"/>
        </w:rPr>
        <w:t>）畜牧与水产品检验技术研究所</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神农科技集团有限公司、山西省水产技术推广服务中心、山西农业大学、万家寨水控水产开发有限公司等</w:t>
      </w:r>
      <w:r>
        <w:rPr>
          <w:rFonts w:hint="eastAsia" w:ascii="仿宋_GB2312" w:hAnsi="仿宋_GB2312" w:eastAsia="仿宋_GB2312" w:cs="仿宋_GB2312"/>
          <w:kern w:val="0"/>
          <w:sz w:val="32"/>
          <w:szCs w:val="32"/>
          <w:highlight w:val="none"/>
          <w:lang w:val="en-US" w:eastAsia="zh-CN"/>
        </w:rPr>
        <w:t>6</w:t>
      </w:r>
      <w:r>
        <w:rPr>
          <w:rFonts w:hint="default" w:ascii="仿宋_GB2312" w:hAnsi="仿宋_GB2312" w:eastAsia="仿宋_GB2312" w:cs="仿宋_GB2312"/>
          <w:kern w:val="0"/>
          <w:sz w:val="32"/>
          <w:szCs w:val="32"/>
          <w:lang w:val="en-US" w:eastAsia="zh-CN"/>
        </w:rPr>
        <w:t>家单位共</w:t>
      </w:r>
      <w:r>
        <w:rPr>
          <w:rFonts w:hint="eastAsia" w:ascii="仿宋_GB2312" w:hAnsi="仿宋_GB2312" w:eastAsia="仿宋_GB2312" w:cs="仿宋_GB2312"/>
          <w:kern w:val="0"/>
          <w:sz w:val="32"/>
          <w:szCs w:val="32"/>
          <w:lang w:val="en-US" w:eastAsia="zh-CN"/>
        </w:rPr>
        <w:t>11</w:t>
      </w:r>
      <w:r>
        <w:rPr>
          <w:rFonts w:hint="default" w:ascii="仿宋_GB2312" w:hAnsi="仿宋_GB2312" w:eastAsia="仿宋_GB2312" w:cs="仿宋_GB2312"/>
          <w:kern w:val="0"/>
          <w:sz w:val="32"/>
          <w:szCs w:val="32"/>
          <w:lang w:val="en-US" w:eastAsia="zh-CN"/>
        </w:rPr>
        <w:t>人成立了标准编制组，于202</w:t>
      </w:r>
      <w:r>
        <w:rPr>
          <w:rFonts w:hint="eastAsia" w:ascii="仿宋_GB2312" w:hAnsi="仿宋_GB2312" w:eastAsia="仿宋_GB2312" w:cs="仿宋_GB2312"/>
          <w:kern w:val="0"/>
          <w:sz w:val="32"/>
          <w:szCs w:val="32"/>
          <w:lang w:val="en-US" w:eastAsia="zh-CN"/>
        </w:rPr>
        <w:t>3</w:t>
      </w:r>
      <w:r>
        <w:rPr>
          <w:rFonts w:hint="default" w:ascii="仿宋_GB2312" w:hAnsi="仿宋_GB2312" w:eastAsia="仿宋_GB2312" w:cs="仿宋_GB2312"/>
          <w:kern w:val="0"/>
          <w:sz w:val="32"/>
          <w:szCs w:val="32"/>
          <w:lang w:val="en-US" w:eastAsia="zh-CN"/>
        </w:rPr>
        <w:t>年</w:t>
      </w:r>
      <w:r>
        <w:rPr>
          <w:rFonts w:hint="eastAsia" w:ascii="仿宋_GB2312" w:hAnsi="仿宋_GB2312" w:eastAsia="仿宋_GB2312" w:cs="仿宋_GB2312"/>
          <w:kern w:val="0"/>
          <w:sz w:val="32"/>
          <w:szCs w:val="32"/>
          <w:lang w:val="en-US" w:eastAsia="zh-CN"/>
        </w:rPr>
        <w:t>1</w:t>
      </w:r>
      <w:r>
        <w:rPr>
          <w:rFonts w:hint="default" w:ascii="仿宋_GB2312" w:hAnsi="仿宋_GB2312" w:eastAsia="仿宋_GB2312" w:cs="仿宋_GB2312"/>
          <w:kern w:val="0"/>
          <w:sz w:val="32"/>
          <w:szCs w:val="32"/>
          <w:lang w:val="en-US" w:eastAsia="zh-CN"/>
        </w:rPr>
        <w:t>月召开开题讨论会议后，编制组</w:t>
      </w:r>
      <w:r>
        <w:rPr>
          <w:rFonts w:hint="eastAsia" w:ascii="仿宋_GB2312" w:hAnsi="仿宋_GB2312" w:eastAsia="仿宋_GB2312" w:cs="仿宋_GB2312"/>
          <w:kern w:val="0"/>
          <w:sz w:val="32"/>
          <w:szCs w:val="32"/>
          <w:lang w:val="en-US" w:eastAsia="zh-CN"/>
        </w:rPr>
        <w:t>制定了</w:t>
      </w:r>
      <w:r>
        <w:rPr>
          <w:rFonts w:hint="default" w:ascii="仿宋_GB2312" w:hAnsi="仿宋_GB2312" w:eastAsia="仿宋_GB2312" w:cs="仿宋_GB2312"/>
          <w:kern w:val="0"/>
          <w:sz w:val="32"/>
          <w:szCs w:val="32"/>
          <w:lang w:val="en-US" w:eastAsia="zh-CN"/>
        </w:rPr>
        <w:t>详细的工作计划，明确了各阶段的任务与目标，确定了标准制订的方法与技术路线。</w:t>
      </w:r>
    </w:p>
    <w:p w14:paraId="53EA119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（二）数据收集</w:t>
      </w:r>
      <w:r>
        <w:rPr>
          <w:rFonts w:hint="default" w:ascii="仿宋_GB2312" w:hAnsi="仿宋_GB2312" w:eastAsia="仿宋_GB2312" w:cs="仿宋_GB2312"/>
          <w:kern w:val="0"/>
          <w:sz w:val="32"/>
          <w:szCs w:val="32"/>
          <w:lang w:val="en-US" w:eastAsia="zh-CN"/>
        </w:rPr>
        <w:t>整理</w:t>
      </w:r>
      <w:r>
        <w:rPr>
          <w:rFonts w:hint="eastAsia" w:ascii="楷体_GB2312" w:hAnsi="楷体_GB2312" w:eastAsia="楷体_GB2312" w:cs="楷体_GB2312"/>
          <w:b w:val="0"/>
          <w:bCs w:val="0"/>
          <w:kern w:val="0"/>
          <w:sz w:val="32"/>
          <w:szCs w:val="32"/>
          <w:lang w:val="en-US" w:eastAsia="zh-CN"/>
        </w:rPr>
        <w:t>。</w:t>
      </w:r>
      <w:r>
        <w:rPr>
          <w:rFonts w:hint="eastAsia" w:ascii="仿宋_GB2312" w:hAnsi="仿宋_GB2312" w:eastAsia="仿宋_GB2312" w:cs="仿宋_GB2312"/>
          <w:kern w:val="0"/>
          <w:sz w:val="32"/>
          <w:szCs w:val="32"/>
          <w:lang w:val="en-US" w:eastAsia="zh-CN"/>
        </w:rPr>
        <w:t>对我省在太原市晋源区、小店区，临汾市尧都区，阳泉市平定县，大同市云州区、阳高县，运城市永济市实施的鱼菜综合种养、工厂化循环水养殖进行调研，收集养殖品种、养殖效益、养殖尾水处理等相关数据，对山西省渔业协会、山西省现代农业－渔产业技术体系2022年度实施的暗纹东方豚淡水工厂化循环养殖数据进行整理汇总。</w:t>
      </w:r>
    </w:p>
    <w:p w14:paraId="4981434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（三）对其他成果编制与实施的借鉴。</w:t>
      </w:r>
      <w:r>
        <w:rPr>
          <w:rFonts w:hint="eastAsia" w:ascii="仿宋_GB2312" w:hAnsi="仿宋_GB2312" w:eastAsia="仿宋_GB2312" w:cs="仿宋_GB2312"/>
          <w:kern w:val="0"/>
          <w:sz w:val="32"/>
          <w:szCs w:val="32"/>
          <w:lang w:val="en-US" w:eastAsia="zh-CN"/>
        </w:rPr>
        <w:t>对国家</w:t>
      </w:r>
      <w:r>
        <w:rPr>
          <w:rFonts w:hint="default" w:ascii="仿宋_GB2312" w:hAnsi="仿宋_GB2312" w:eastAsia="仿宋_GB2312" w:cs="仿宋_GB2312"/>
          <w:kern w:val="0"/>
          <w:sz w:val="32"/>
          <w:szCs w:val="32"/>
          <w:lang w:val="en-US" w:eastAsia="zh-CN"/>
        </w:rPr>
        <w:t>已制定并发布</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暗纹东方鲀养殖技术规范 第3部分：鱼苗鱼种培育技术</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SC/T 1069.3-2004</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暗纹东方鲀养殖技术规范 第4部分：养成技术</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SC/T 1069.4-2004</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kern w:val="2"/>
          <w:sz w:val="32"/>
          <w:szCs w:val="32"/>
          <w:lang w:val="en-US" w:eastAsia="zh-CN" w:bidi="ar-SA"/>
        </w:rPr>
        <w:t>《工厂化循环水养殖车间设计规范》（SC/T 6093-2019）等</w:t>
      </w:r>
      <w:r>
        <w:rPr>
          <w:rFonts w:hint="eastAsia" w:ascii="仿宋_GB2312" w:hAnsi="仿宋_GB2312" w:eastAsia="仿宋_GB2312" w:cs="仿宋_GB2312"/>
          <w:kern w:val="0"/>
          <w:sz w:val="32"/>
          <w:szCs w:val="32"/>
          <w:lang w:val="en-US" w:eastAsia="zh-CN"/>
        </w:rPr>
        <w:t>行业</w:t>
      </w:r>
      <w:r>
        <w:rPr>
          <w:rFonts w:hint="default" w:ascii="仿宋_GB2312" w:hAnsi="仿宋_GB2312" w:eastAsia="仿宋_GB2312" w:cs="仿宋_GB2312"/>
          <w:kern w:val="0"/>
          <w:sz w:val="32"/>
          <w:szCs w:val="32"/>
          <w:lang w:val="en-US" w:eastAsia="zh-CN"/>
        </w:rPr>
        <w:t>标准的标准文本及编制说明进行借鉴</w:t>
      </w:r>
      <w:r>
        <w:rPr>
          <w:rFonts w:hint="eastAsia" w:ascii="仿宋_GB2312" w:hAnsi="仿宋_GB2312" w:eastAsia="仿宋_GB2312" w:cs="仿宋_GB2312"/>
          <w:kern w:val="0"/>
          <w:sz w:val="32"/>
          <w:szCs w:val="32"/>
          <w:lang w:val="en-US" w:eastAsia="zh-CN"/>
        </w:rPr>
        <w:t>。</w:t>
      </w:r>
    </w:p>
    <w:p w14:paraId="71C445D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（四）初稿编制。</w:t>
      </w:r>
      <w:r>
        <w:rPr>
          <w:rFonts w:hint="eastAsia" w:ascii="仿宋_GB2312" w:hAnsi="仿宋_GB2312" w:eastAsia="仿宋_GB2312" w:cs="仿宋_GB2312"/>
          <w:kern w:val="0"/>
          <w:sz w:val="32"/>
          <w:szCs w:val="32"/>
          <w:lang w:val="en-US" w:eastAsia="zh-CN"/>
        </w:rPr>
        <w:t>在</w:t>
      </w:r>
      <w:r>
        <w:rPr>
          <w:rFonts w:hint="default" w:ascii="仿宋_GB2312" w:hAnsi="仿宋_GB2312" w:eastAsia="仿宋_GB2312" w:cs="仿宋_GB2312"/>
          <w:kern w:val="0"/>
          <w:sz w:val="32"/>
          <w:szCs w:val="32"/>
          <w:lang w:val="en-US" w:eastAsia="zh-CN"/>
        </w:rPr>
        <w:t>开展基础资料、历史数据和文献材料研究</w:t>
      </w:r>
      <w:r>
        <w:rPr>
          <w:rFonts w:hint="eastAsia" w:ascii="仿宋_GB2312" w:hAnsi="仿宋_GB2312" w:eastAsia="仿宋_GB2312" w:cs="仿宋_GB2312"/>
          <w:kern w:val="0"/>
          <w:sz w:val="32"/>
          <w:szCs w:val="32"/>
          <w:lang w:val="en-US" w:eastAsia="zh-CN"/>
        </w:rPr>
        <w:t>的基础</w:t>
      </w:r>
      <w:r>
        <w:rPr>
          <w:rFonts w:hint="default" w:ascii="仿宋_GB2312" w:hAnsi="仿宋_GB2312" w:eastAsia="仿宋_GB2312" w:cs="仿宋_GB2312"/>
          <w:kern w:val="0"/>
          <w:sz w:val="32"/>
          <w:szCs w:val="32"/>
          <w:lang w:val="en-US" w:eastAsia="zh-CN"/>
        </w:rPr>
        <w:t>上</w:t>
      </w:r>
      <w:r>
        <w:rPr>
          <w:rFonts w:hint="eastAsia" w:ascii="仿宋_GB2312" w:hAnsi="仿宋_GB2312" w:eastAsia="仿宋_GB2312" w:cs="仿宋_GB2312"/>
          <w:kern w:val="0"/>
          <w:sz w:val="32"/>
          <w:szCs w:val="32"/>
          <w:lang w:val="en-US" w:eastAsia="zh-CN"/>
        </w:rPr>
        <w:t>，对运行的暗纹东方鲀工厂化循环水养殖示范点养殖尾水净化系统进行优化并获得国家发明专利一项《一种淡水水产养殖尾水高效生物净化装置》（ZL.202222495899.1）。在</w:t>
      </w:r>
      <w:r>
        <w:rPr>
          <w:rFonts w:hint="default" w:ascii="仿宋_GB2312" w:hAnsi="仿宋_GB2312" w:eastAsia="仿宋_GB2312" w:cs="仿宋_GB2312"/>
          <w:kern w:val="0"/>
          <w:sz w:val="32"/>
          <w:szCs w:val="32"/>
          <w:lang w:val="en-US" w:eastAsia="zh-CN"/>
        </w:rPr>
        <w:t>与养殖场管理及技术人员进行了充分探讨</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咨询了部分专家和养殖场意见，确定了本文件的</w:t>
      </w:r>
      <w:r>
        <w:rPr>
          <w:rFonts w:hint="eastAsia" w:ascii="仿宋_GB2312" w:hAnsi="仿宋_GB2312" w:eastAsia="仿宋_GB2312" w:cs="仿宋_GB2312"/>
          <w:color w:val="000000"/>
          <w:sz w:val="32"/>
          <w:szCs w:val="32"/>
          <w:lang w:val="en-US" w:eastAsia="zh-CN"/>
        </w:rPr>
        <w:t>养殖设施及水处理工艺、养殖前处理、苗种质量要求、苗种放养、日常管理、病害防治、档案管理等</w:t>
      </w:r>
      <w:r>
        <w:rPr>
          <w:rFonts w:hint="default" w:ascii="仿宋_GB2312" w:hAnsi="仿宋_GB2312" w:eastAsia="仿宋_GB2312" w:cs="仿宋_GB2312"/>
          <w:kern w:val="0"/>
          <w:sz w:val="32"/>
          <w:szCs w:val="32"/>
          <w:lang w:val="en-US" w:eastAsia="zh-CN"/>
        </w:rPr>
        <w:t>内容，于2023年</w:t>
      </w:r>
      <w:r>
        <w:rPr>
          <w:rFonts w:hint="eastAsia" w:ascii="仿宋_GB2312" w:hAnsi="仿宋_GB2312" w:eastAsia="仿宋_GB2312" w:cs="仿宋_GB2312"/>
          <w:kern w:val="0"/>
          <w:sz w:val="32"/>
          <w:szCs w:val="32"/>
          <w:lang w:val="en-US" w:eastAsia="zh-CN"/>
        </w:rPr>
        <w:t>3</w:t>
      </w:r>
      <w:r>
        <w:rPr>
          <w:rFonts w:hint="default" w:ascii="仿宋_GB2312" w:hAnsi="仿宋_GB2312" w:eastAsia="仿宋_GB2312" w:cs="仿宋_GB2312"/>
          <w:kern w:val="0"/>
          <w:sz w:val="32"/>
          <w:szCs w:val="32"/>
          <w:lang w:val="en-US" w:eastAsia="zh-CN"/>
        </w:rPr>
        <w:t>月编制完成了《</w:t>
      </w:r>
      <w:r>
        <w:rPr>
          <w:rFonts w:hint="eastAsia" w:ascii="仿宋_GB2312" w:hAnsi="仿宋_GB2312" w:eastAsia="仿宋_GB2312" w:cs="仿宋_GB2312"/>
          <w:kern w:val="0"/>
          <w:sz w:val="32"/>
          <w:szCs w:val="32"/>
          <w:lang w:val="en-US" w:eastAsia="zh-CN"/>
        </w:rPr>
        <w:t>规范</w:t>
      </w:r>
      <w:r>
        <w:rPr>
          <w:rFonts w:hint="default" w:ascii="仿宋_GB2312" w:hAnsi="仿宋_GB2312" w:eastAsia="仿宋_GB2312" w:cs="仿宋_GB2312"/>
          <w:kern w:val="0"/>
          <w:sz w:val="32"/>
          <w:szCs w:val="32"/>
          <w:lang w:val="en-US" w:eastAsia="zh-CN"/>
        </w:rPr>
        <w:t>》文本及编制说明初稿。</w:t>
      </w:r>
    </w:p>
    <w:p w14:paraId="165FC109">
      <w:pPr>
        <w:keepNext w:val="0"/>
        <w:keepLines w:val="0"/>
        <w:pageBreakBefore w:val="0"/>
        <w:numPr>
          <w:ilvl w:val="0"/>
          <w:numId w:val="0"/>
        </w:numPr>
        <w:kinsoku/>
        <w:wordWrap/>
        <w:overflowPunct/>
        <w:topLinePunct w:val="0"/>
        <w:autoSpaceDE/>
        <w:autoSpaceDN/>
        <w:bidi w:val="0"/>
        <w:adjustRightInd/>
        <w:snapToGrid/>
        <w:spacing w:line="620" w:lineRule="exact"/>
        <w:textAlignment w:val="auto"/>
        <w:rPr>
          <w:rFonts w:hint="eastAsia" w:ascii="宋体" w:hAnsi="宋体"/>
          <w:b/>
          <w:sz w:val="32"/>
          <w:szCs w:val="32"/>
          <w:lang w:eastAsia="zh-CN"/>
        </w:rPr>
      </w:pPr>
    </w:p>
    <w:p w14:paraId="7BC2AA97">
      <w:pPr>
        <w:pStyle w:val="14"/>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lang w:eastAsia="zh-CN"/>
        </w:rPr>
        <w:t>制定标准的原则和依据，</w:t>
      </w:r>
      <w:r>
        <w:rPr>
          <w:rFonts w:hint="eastAsia" w:ascii="黑体" w:hAnsi="黑体" w:eastAsia="黑体" w:cs="黑体"/>
          <w:b w:val="0"/>
          <w:bCs/>
          <w:sz w:val="32"/>
          <w:szCs w:val="32"/>
        </w:rPr>
        <w:t>与现行法律、法规</w:t>
      </w:r>
      <w:r>
        <w:rPr>
          <w:rFonts w:hint="eastAsia" w:ascii="黑体" w:hAnsi="黑体" w:eastAsia="黑体" w:cs="黑体"/>
          <w:b w:val="0"/>
          <w:bCs/>
          <w:sz w:val="32"/>
          <w:szCs w:val="32"/>
          <w:lang w:eastAsia="zh-CN"/>
        </w:rPr>
        <w:t>、标准</w:t>
      </w:r>
      <w:r>
        <w:rPr>
          <w:rFonts w:hint="eastAsia" w:ascii="黑体" w:hAnsi="黑体" w:eastAsia="黑体" w:cs="黑体"/>
          <w:b w:val="0"/>
          <w:bCs/>
          <w:sz w:val="32"/>
          <w:szCs w:val="32"/>
        </w:rPr>
        <w:t>的关系</w:t>
      </w:r>
    </w:p>
    <w:p w14:paraId="6234F1E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b w:val="0"/>
          <w:bCs w:val="0"/>
          <w:color w:val="000000"/>
          <w:sz w:val="32"/>
          <w:szCs w:val="32"/>
          <w:lang w:val="en-US" w:eastAsia="zh-CN"/>
        </w:rPr>
      </w:pPr>
      <w:r>
        <w:rPr>
          <w:rFonts w:hint="eastAsia" w:ascii="楷体_GB2312" w:hAnsi="楷体_GB2312" w:eastAsia="楷体_GB2312" w:cs="楷体_GB2312"/>
          <w:b w:val="0"/>
          <w:bCs w:val="0"/>
          <w:sz w:val="32"/>
          <w:szCs w:val="32"/>
          <w:highlight w:val="none"/>
          <w:lang w:val="en-US" w:eastAsia="zh-CN"/>
        </w:rPr>
        <w:t>（一）编制原则和依据</w:t>
      </w:r>
    </w:p>
    <w:p w14:paraId="352884C4">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1.科学性原则。</w:t>
      </w:r>
      <w:r>
        <w:rPr>
          <w:rFonts w:hint="eastAsia" w:ascii="仿宋_GB2312" w:hAnsi="仿宋_GB2312" w:eastAsia="仿宋_GB2312" w:cs="仿宋_GB2312"/>
          <w:color w:val="000000"/>
          <w:sz w:val="32"/>
          <w:szCs w:val="32"/>
          <w:lang w:val="en-US" w:eastAsia="zh-CN"/>
        </w:rPr>
        <w:t>编写标准草案时在充分调查研究的基础上，认真分析国内暗纹东方鲀养殖和工厂化循环水养殖标准的技术水平，在预期可达到的条件下，把先进技术纳入标准，提高养殖生产技术水平。本规范主要参数相关内容是项目组成员鱼菜综合种养、陆基圆池循环水养殖模式、暗纹东方鲀工厂化循环水养殖科研项目以及调查研究的部分内容，是通过研究、调查、试验形成的，并经过试验验证和反复修正，最终形成的本规范，技术参数可靠。制定标准时以满足实际生产能力和需要出发，不一味地追求高产，避免造成生产者经济投入和生态环境负担。</w:t>
      </w:r>
    </w:p>
    <w:p w14:paraId="0D135060">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2.适用性原则。</w:t>
      </w:r>
      <w:r>
        <w:rPr>
          <w:rFonts w:hint="eastAsia" w:ascii="仿宋_GB2312" w:hAnsi="仿宋_GB2312" w:eastAsia="仿宋_GB2312" w:cs="仿宋_GB2312"/>
          <w:color w:val="000000"/>
          <w:sz w:val="32"/>
          <w:szCs w:val="32"/>
          <w:lang w:val="en-US" w:eastAsia="zh-CN"/>
        </w:rPr>
        <w:t>本规范立足山西省情农情和渔业发展实际情况，具有较强的适用性。本规范在制定过程中，结合淡水工厂化循环水养殖尾水处理实践，进行了系统性和规范性的总结，并注重细节规定和可操作性，力求达到广大使用者看得懂、用得上，操作方便。</w:t>
      </w:r>
    </w:p>
    <w:p w14:paraId="1793B798">
      <w:pPr>
        <w:pStyle w:val="11"/>
        <w:keepNext w:val="0"/>
        <w:keepLines w:val="0"/>
        <w:pageBreakBefore w:val="0"/>
        <w:widowControl w:val="0"/>
        <w:kinsoku/>
        <w:wordWrap/>
        <w:overflowPunct/>
        <w:topLinePunct w:val="0"/>
        <w:autoSpaceDE/>
        <w:autoSpaceDN/>
        <w:bidi w:val="0"/>
        <w:adjustRightInd/>
        <w:snapToGrid/>
        <w:spacing w:after="0" w:line="620" w:lineRule="exact"/>
        <w:ind w:left="0" w:leftChars="0" w:firstLine="643" w:firstLineChars="200"/>
        <w:textAlignment w:val="auto"/>
        <w:rPr>
          <w:rFonts w:hint="eastAsia"/>
          <w:sz w:val="32"/>
          <w:szCs w:val="32"/>
          <w:lang w:val="en-US" w:eastAsia="zh-CN"/>
        </w:rPr>
      </w:pPr>
      <w:r>
        <w:rPr>
          <w:rFonts w:hint="eastAsia" w:ascii="仿宋_GB2312" w:hAnsi="仿宋_GB2312" w:eastAsia="仿宋_GB2312" w:cs="仿宋_GB2312"/>
          <w:b/>
          <w:bCs/>
          <w:color w:val="000000"/>
          <w:sz w:val="32"/>
          <w:szCs w:val="32"/>
          <w:lang w:val="en-US" w:eastAsia="zh-CN"/>
        </w:rPr>
        <w:t>3.规范性原则。</w:t>
      </w:r>
      <w:r>
        <w:rPr>
          <w:rFonts w:hint="eastAsia" w:ascii="仿宋_GB2312" w:hAnsi="仿宋_GB2312" w:eastAsia="仿宋_GB2312" w:cs="仿宋_GB2312"/>
          <w:color w:val="000000"/>
          <w:sz w:val="32"/>
          <w:szCs w:val="32"/>
          <w:lang w:val="en-US" w:eastAsia="zh-CN"/>
        </w:rPr>
        <w:t>制定原则保证标准的适用性、先进性，注意标准的统一性和协调性以及经济和社会效益，结合山西省设施渔业发展实际情况积极采用国家标准和行业先进标准。在确定标准项目时首先注意标准的适用范围，不让标准所涵盖的领域过宽。</w:t>
      </w:r>
    </w:p>
    <w:p w14:paraId="04374F5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_GB2312" w:hAnsi="楷体_GB2312" w:eastAsia="楷体_GB2312" w:cs="楷体_GB2312"/>
          <w:b w:val="0"/>
          <w:bCs w:val="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（二）与有关现行法律、法规的关系</w:t>
      </w:r>
    </w:p>
    <w:p w14:paraId="68DC65C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宋体" w:hAnsi="宋体"/>
          <w:b/>
          <w:sz w:val="32"/>
          <w:szCs w:val="32"/>
        </w:rPr>
      </w:pPr>
      <w:r>
        <w:rPr>
          <w:rFonts w:hint="eastAsia" w:ascii="仿宋_GB2312" w:hAnsi="仿宋_GB2312" w:eastAsia="仿宋_GB2312" w:cs="仿宋_GB2312"/>
          <w:color w:val="000000"/>
          <w:sz w:val="32"/>
          <w:szCs w:val="32"/>
          <w:lang w:val="en-US" w:eastAsia="zh-CN"/>
        </w:rPr>
        <w:t>本规范服从于现行法律、法规相关规定，标准的起草，严格按照《标准化工作导则 第1部分：标准化文件的结构和起草规则》（GB/T 1.1-2020）的规定起草，该技术规程与《中华人民共和国渔业法》、</w:t>
      </w:r>
      <w:r>
        <w:rPr>
          <w:rFonts w:hint="default" w:ascii="仿宋_GB2312" w:hAnsi="仿宋_GB2312" w:eastAsia="仿宋_GB2312" w:cs="仿宋_GB2312"/>
          <w:kern w:val="0"/>
          <w:sz w:val="32"/>
          <w:szCs w:val="32"/>
          <w:lang w:val="en-US" w:eastAsia="zh-CN"/>
        </w:rPr>
        <w:t>农业农村部等十部委印发</w:t>
      </w:r>
      <w:r>
        <w:rPr>
          <w:rFonts w:hint="eastAsia" w:ascii="仿宋_GB2312" w:hAnsi="仿宋_GB2312" w:eastAsia="仿宋_GB2312" w:cs="仿宋_GB2312"/>
          <w:kern w:val="0"/>
          <w:sz w:val="32"/>
          <w:szCs w:val="32"/>
          <w:lang w:val="en-US" w:eastAsia="zh-CN"/>
        </w:rPr>
        <w:t>的</w:t>
      </w:r>
      <w:r>
        <w:rPr>
          <w:rFonts w:hint="default" w:ascii="仿宋_GB2312" w:hAnsi="仿宋_GB2312" w:eastAsia="仿宋_GB2312" w:cs="仿宋_GB2312"/>
          <w:kern w:val="0"/>
          <w:sz w:val="32"/>
          <w:szCs w:val="32"/>
          <w:lang w:val="en-US" w:eastAsia="zh-CN"/>
        </w:rPr>
        <w:t>《关于加快推进水产养殖绿色发展的若干意见》（农渔发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1号）</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山西省农业农村厅等十部门印发</w:t>
      </w:r>
      <w:r>
        <w:rPr>
          <w:rFonts w:hint="eastAsia" w:ascii="仿宋_GB2312" w:hAnsi="仿宋_GB2312" w:eastAsia="仿宋_GB2312" w:cs="仿宋_GB2312"/>
          <w:kern w:val="0"/>
          <w:sz w:val="32"/>
          <w:szCs w:val="32"/>
          <w:lang w:val="en-US" w:eastAsia="zh-CN"/>
        </w:rPr>
        <w:t>的</w:t>
      </w:r>
      <w:r>
        <w:rPr>
          <w:rFonts w:hint="default" w:ascii="仿宋_GB2312" w:hAnsi="仿宋_GB2312" w:eastAsia="仿宋_GB2312" w:cs="仿宋_GB2312"/>
          <w:kern w:val="0"/>
          <w:sz w:val="32"/>
          <w:szCs w:val="32"/>
          <w:lang w:val="en-US" w:eastAsia="zh-CN"/>
        </w:rPr>
        <w:t>《关于加快推进水产养殖业绿色发展的实施意见》（晋农垦渔发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2020</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3号）</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《山西省农业农村厅关于印发“十四五”山西省渔业发展规划的通知》（晋农垦渔发</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2022</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4号）</w:t>
      </w:r>
      <w:r>
        <w:rPr>
          <w:rFonts w:hint="eastAsia" w:ascii="仿宋_GB2312" w:hAnsi="仿宋_GB2312" w:eastAsia="仿宋_GB2312" w:cs="仿宋_GB2312"/>
          <w:color w:val="000000"/>
          <w:sz w:val="32"/>
          <w:szCs w:val="32"/>
          <w:lang w:val="en-US" w:eastAsia="zh-CN"/>
        </w:rPr>
        <w:t>等指导性文件要求相符合，执行相关法律法规的有关规定，与现行法律法规没有矛盾或冲突。</w:t>
      </w:r>
    </w:p>
    <w:p w14:paraId="5480E622">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五、</w:t>
      </w:r>
      <w:r>
        <w:rPr>
          <w:rFonts w:hint="eastAsia" w:ascii="黑体" w:hAnsi="黑体" w:eastAsia="黑体" w:cs="黑体"/>
          <w:b w:val="0"/>
          <w:bCs/>
          <w:sz w:val="32"/>
          <w:szCs w:val="32"/>
          <w:lang w:eastAsia="zh-CN"/>
        </w:rPr>
        <w:t>主要条款说明</w:t>
      </w:r>
    </w:p>
    <w:p w14:paraId="0FDA563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标准起草组以“保证标准的适用性、先进性，注意标准的统一性和协调性以及经济和社会效益”为编制原则，结合山西省设施渔业发展实际情况、相关科研项目的开展和取得成果的基础上，编制了该标准文本。</w:t>
      </w:r>
    </w:p>
    <w:p w14:paraId="569AEC5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1、依据标准起草负责人在太原市实施的淡水工厂化循环水生态养殖模式示范点和研究项目，结合全省范围内实施的鱼菜综合种养、陆基圆池循环水养殖等设施渔业模式的建设规范和设备参数，确定了本条款中“4 养殖设施及水处理工艺”各项条款。</w:t>
      </w:r>
    </w:p>
    <w:p w14:paraId="1B5067F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2、根据项目实施中取得的实用新型专利《一种淡水水产养殖尾水高效生物净化装置》（ZL.202222495899.1），完善了“4.1.4 生物过滤设施”。</w:t>
      </w:r>
    </w:p>
    <w:p w14:paraId="14F0A62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3、根据标准起草负责人实施的“智能水质监测和环境调控系统配备示范点建立和试点研究”，结合全省设施渔业调研，确定了“8.1水质管理”相关参数。</w:t>
      </w:r>
    </w:p>
    <w:p w14:paraId="65B564A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4、依据项目起草负责人在太原市实施的“暗纹东方豚淡水工厂化循环养殖”项目，确定了文本中“6 苗种质量要求；8 日常管理；9 疫病防治；10 收获；11 档案管理”相关条款。</w:t>
      </w:r>
    </w:p>
    <w:p w14:paraId="52E36A7A">
      <w:pPr>
        <w:pStyle w:val="3"/>
        <w:keepNext w:val="0"/>
        <w:keepLines w:val="0"/>
        <w:pageBreakBefore w:val="0"/>
        <w:kinsoku/>
        <w:wordWrap/>
        <w:overflowPunct/>
        <w:topLinePunct w:val="0"/>
        <w:autoSpaceDE/>
        <w:autoSpaceDN/>
        <w:bidi w:val="0"/>
        <w:adjustRightInd/>
        <w:snapToGrid/>
        <w:spacing w:line="620" w:lineRule="exact"/>
        <w:ind w:left="641" w:firstLine="0" w:firstLineChars="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六、</w:t>
      </w:r>
      <w:r>
        <w:rPr>
          <w:rFonts w:hint="eastAsia" w:ascii="黑体" w:hAnsi="黑体" w:eastAsia="黑体" w:cs="黑体"/>
          <w:b w:val="0"/>
          <w:bCs/>
          <w:sz w:val="32"/>
          <w:szCs w:val="32"/>
          <w:lang w:eastAsia="zh-CN"/>
        </w:rPr>
        <w:t>重大意见分歧的处理依据和结果</w:t>
      </w:r>
    </w:p>
    <w:p w14:paraId="70C1FDD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该规范主要技术指标内容除起草编制组单位专家外还与</w:t>
      </w:r>
      <w:r>
        <w:rPr>
          <w:rFonts w:hint="eastAsia" w:ascii="仿宋_GB2312" w:hAnsi="仿宋_GB2312" w:eastAsia="仿宋_GB2312" w:cs="仿宋_GB2312"/>
          <w:color w:val="000000"/>
          <w:sz w:val="32"/>
          <w:szCs w:val="32"/>
          <w:lang w:val="en-US" w:eastAsia="zh-CN"/>
        </w:rPr>
        <w:t>山西农业大学、山西省水产技术推广服务中心、山西省渔业协会、山西万家寨水控水产开发有限公司、太原市汇众苗木科技有限公司</w:t>
      </w:r>
      <w:r>
        <w:rPr>
          <w:rFonts w:hint="default" w:ascii="仿宋_GB2312" w:hAnsi="仿宋_GB2312" w:eastAsia="仿宋_GB2312" w:cs="仿宋_GB2312"/>
          <w:color w:val="000000"/>
          <w:sz w:val="32"/>
          <w:szCs w:val="32"/>
          <w:lang w:val="en-US" w:eastAsia="zh-CN"/>
        </w:rPr>
        <w:t>等科研单位和应用单位相关技术专家和从业人员交流及征求意见，</w:t>
      </w:r>
      <w:r>
        <w:rPr>
          <w:rFonts w:hint="eastAsia" w:ascii="仿宋_GB2312" w:hAnsi="仿宋_GB2312" w:eastAsia="仿宋_GB2312" w:cs="仿宋_GB2312"/>
          <w:color w:val="000000"/>
          <w:sz w:val="32"/>
          <w:szCs w:val="32"/>
          <w:lang w:val="en-US" w:eastAsia="zh-CN"/>
        </w:rPr>
        <w:t>除对文字表述、章节调整等外，</w:t>
      </w:r>
      <w:r>
        <w:rPr>
          <w:rFonts w:hint="default" w:ascii="仿宋_GB2312" w:hAnsi="仿宋_GB2312" w:eastAsia="仿宋_GB2312" w:cs="仿宋_GB2312"/>
          <w:color w:val="000000"/>
          <w:sz w:val="32"/>
          <w:szCs w:val="32"/>
          <w:lang w:val="en-US" w:eastAsia="zh-CN"/>
        </w:rPr>
        <w:t>无重大意见分歧。</w:t>
      </w:r>
    </w:p>
    <w:p w14:paraId="5379F171">
      <w:pPr>
        <w:pStyle w:val="3"/>
        <w:keepNext w:val="0"/>
        <w:keepLines w:val="0"/>
        <w:pageBreakBefore w:val="0"/>
        <w:kinsoku/>
        <w:wordWrap/>
        <w:overflowPunct/>
        <w:topLinePunct w:val="0"/>
        <w:autoSpaceDE/>
        <w:autoSpaceDN/>
        <w:bidi w:val="0"/>
        <w:adjustRightInd/>
        <w:snapToGrid/>
        <w:spacing w:line="620" w:lineRule="exact"/>
        <w:ind w:left="641" w:firstLine="0" w:firstLineChars="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七、作为推荐性标准的建议</w:t>
      </w:r>
      <w:r>
        <w:rPr>
          <w:rFonts w:hint="eastAsia" w:ascii="黑体" w:hAnsi="黑体" w:eastAsia="黑体" w:cs="黑体"/>
          <w:b w:val="0"/>
          <w:bCs/>
          <w:sz w:val="32"/>
          <w:szCs w:val="32"/>
          <w:lang w:eastAsia="zh-CN"/>
        </w:rPr>
        <w:t>及其理由</w:t>
      </w:r>
    </w:p>
    <w:p w14:paraId="6ABAFBC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建议本标准为推荐性标准。</w:t>
      </w:r>
    </w:p>
    <w:p w14:paraId="51A9BD4D">
      <w:pPr>
        <w:pStyle w:val="3"/>
        <w:keepNext w:val="0"/>
        <w:keepLines w:val="0"/>
        <w:pageBreakBefore w:val="0"/>
        <w:kinsoku/>
        <w:wordWrap/>
        <w:overflowPunct/>
        <w:topLinePunct w:val="0"/>
        <w:autoSpaceDE/>
        <w:autoSpaceDN/>
        <w:bidi w:val="0"/>
        <w:adjustRightInd/>
        <w:snapToGrid/>
        <w:spacing w:line="620" w:lineRule="exact"/>
        <w:ind w:left="641" w:firstLine="0" w:firstLineChars="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八、</w:t>
      </w:r>
      <w:r>
        <w:rPr>
          <w:rFonts w:hint="eastAsia" w:ascii="黑体" w:hAnsi="黑体" w:eastAsia="黑体" w:cs="黑体"/>
          <w:b w:val="0"/>
          <w:bCs/>
          <w:sz w:val="32"/>
          <w:szCs w:val="32"/>
          <w:lang w:eastAsia="zh-CN"/>
        </w:rPr>
        <w:t>标准实施的</w:t>
      </w:r>
      <w:r>
        <w:rPr>
          <w:rFonts w:hint="eastAsia" w:ascii="黑体" w:hAnsi="黑体" w:eastAsia="黑体" w:cs="黑体"/>
          <w:b w:val="0"/>
          <w:bCs/>
          <w:sz w:val="32"/>
          <w:szCs w:val="32"/>
        </w:rPr>
        <w:t>措施</w:t>
      </w:r>
      <w:r>
        <w:rPr>
          <w:rFonts w:hint="eastAsia" w:ascii="黑体" w:hAnsi="黑体" w:eastAsia="黑体" w:cs="黑体"/>
          <w:b w:val="0"/>
          <w:bCs/>
          <w:sz w:val="32"/>
          <w:szCs w:val="32"/>
          <w:lang w:eastAsia="zh-CN"/>
        </w:rPr>
        <w:t>建议</w:t>
      </w:r>
    </w:p>
    <w:p w14:paraId="3580D42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val="0"/>
          <w:bCs/>
          <w:sz w:val="32"/>
          <w:szCs w:val="32"/>
          <w:lang w:val="en-US" w:eastAsia="zh-CN"/>
        </w:rPr>
        <w:t>继续推进太原市小店区山西汇众苗木科技有限公司现有的48座温室大棚养殖设施示范基地建设，以实地指导、发放技术手册等形式进行宣传和实施，示范带动我省温室大棚河豚工厂化循环水养殖模式的发展。依托山西省现代农业－渔产业技术体系对全省设施渔业养殖主体开展标准的宣贯，进行标准的培训，保障该技术规范的顺利施行。</w:t>
      </w:r>
    </w:p>
    <w:p w14:paraId="2E492173">
      <w:pPr>
        <w:widowControl/>
        <w:jc w:val="left"/>
        <w:rPr>
          <w:rFonts w:hint="eastAsia" w:ascii="宋体" w:hAnsi="宋体"/>
          <w:sz w:val="32"/>
          <w:szCs w:val="32"/>
        </w:rPr>
      </w:pPr>
    </w:p>
    <w:p w14:paraId="3327360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附表：征求意见汇总处理表</w:t>
      </w:r>
    </w:p>
    <w:p w14:paraId="683C2A53">
      <w:pPr>
        <w:rPr>
          <w:rFonts w:hint="eastAsia" w:ascii="黑体" w:hAnsi="黑体" w:eastAsia="黑体" w:cs="黑体"/>
          <w:lang w:val="en-US" w:eastAsia="zh-CN"/>
        </w:rPr>
      </w:pPr>
    </w:p>
    <w:p w14:paraId="588AB660">
      <w:pPr>
        <w:pStyle w:val="11"/>
        <w:rPr>
          <w:rFonts w:hint="eastAsia" w:ascii="黑体" w:hAnsi="黑体" w:eastAsia="黑体" w:cs="黑体"/>
          <w:lang w:val="en-US" w:eastAsia="zh-CN"/>
        </w:rPr>
      </w:pPr>
    </w:p>
    <w:p w14:paraId="466384E2">
      <w:pPr>
        <w:pStyle w:val="6"/>
        <w:rPr>
          <w:rFonts w:hint="eastAsia" w:ascii="黑体" w:hAnsi="黑体" w:eastAsia="黑体" w:cs="黑体"/>
          <w:lang w:val="en-US" w:eastAsia="zh-CN"/>
        </w:rPr>
      </w:pPr>
    </w:p>
    <w:p w14:paraId="4F30D81E">
      <w:pPr>
        <w:rPr>
          <w:rFonts w:hint="eastAsia" w:ascii="黑体" w:hAnsi="黑体" w:eastAsia="黑体" w:cs="黑体"/>
          <w:lang w:val="en-US" w:eastAsia="zh-CN"/>
        </w:rPr>
      </w:pPr>
    </w:p>
    <w:p w14:paraId="7ACE1C54">
      <w:pPr>
        <w:pStyle w:val="11"/>
        <w:rPr>
          <w:rFonts w:hint="eastAsia" w:ascii="黑体" w:hAnsi="黑体" w:eastAsia="黑体" w:cs="黑体"/>
          <w:lang w:val="en-US" w:eastAsia="zh-CN"/>
        </w:rPr>
      </w:pPr>
    </w:p>
    <w:p w14:paraId="39DB4CC6">
      <w:pPr>
        <w:pStyle w:val="6"/>
        <w:rPr>
          <w:rFonts w:hint="eastAsia" w:ascii="黑体" w:hAnsi="黑体" w:eastAsia="黑体" w:cs="黑体"/>
          <w:lang w:val="en-US" w:eastAsia="zh-CN"/>
        </w:rPr>
      </w:pPr>
    </w:p>
    <w:p w14:paraId="5BB50EB8">
      <w:pPr>
        <w:rPr>
          <w:rFonts w:hint="eastAsia" w:ascii="黑体" w:hAnsi="黑体" w:eastAsia="黑体" w:cs="黑体"/>
          <w:lang w:val="en-US" w:eastAsia="zh-CN"/>
        </w:rPr>
      </w:pPr>
    </w:p>
    <w:p w14:paraId="74F29CC3">
      <w:pPr>
        <w:pStyle w:val="11"/>
        <w:rPr>
          <w:rFonts w:hint="eastAsia" w:ascii="黑体" w:hAnsi="黑体" w:eastAsia="黑体" w:cs="黑体"/>
          <w:lang w:val="en-US" w:eastAsia="zh-CN"/>
        </w:rPr>
      </w:pPr>
    </w:p>
    <w:p w14:paraId="2D38E63A">
      <w:pPr>
        <w:pStyle w:val="6"/>
        <w:rPr>
          <w:rFonts w:hint="eastAsia" w:ascii="黑体" w:hAnsi="黑体" w:eastAsia="黑体" w:cs="黑体"/>
          <w:lang w:val="en-US" w:eastAsia="zh-CN"/>
        </w:rPr>
      </w:pPr>
    </w:p>
    <w:p w14:paraId="430BC64C">
      <w:pPr>
        <w:rPr>
          <w:rFonts w:hint="eastAsia" w:ascii="黑体" w:hAnsi="黑体" w:eastAsia="黑体" w:cs="黑体"/>
          <w:lang w:val="en-US" w:eastAsia="zh-CN"/>
        </w:rPr>
      </w:pPr>
    </w:p>
    <w:p w14:paraId="33381E24">
      <w:pPr>
        <w:pStyle w:val="11"/>
        <w:rPr>
          <w:rFonts w:hint="eastAsia" w:ascii="黑体" w:hAnsi="黑体" w:eastAsia="黑体" w:cs="黑体"/>
          <w:lang w:val="en-US" w:eastAsia="zh-CN"/>
        </w:rPr>
      </w:pPr>
    </w:p>
    <w:p w14:paraId="08CF32DF">
      <w:pPr>
        <w:pStyle w:val="6"/>
        <w:rPr>
          <w:rFonts w:hint="eastAsia" w:ascii="黑体" w:hAnsi="黑体" w:eastAsia="黑体" w:cs="黑体"/>
          <w:lang w:val="en-US" w:eastAsia="zh-CN"/>
        </w:rPr>
      </w:pPr>
    </w:p>
    <w:p w14:paraId="5BDED71D">
      <w:pPr>
        <w:rPr>
          <w:rFonts w:hint="eastAsia" w:ascii="黑体" w:hAnsi="黑体" w:eastAsia="黑体" w:cs="黑体"/>
          <w:lang w:val="en-US" w:eastAsia="zh-CN"/>
        </w:rPr>
      </w:pPr>
    </w:p>
    <w:p w14:paraId="75F9C3AE">
      <w:pPr>
        <w:pStyle w:val="11"/>
        <w:rPr>
          <w:rFonts w:hint="eastAsia" w:ascii="黑体" w:hAnsi="黑体" w:eastAsia="黑体" w:cs="黑体"/>
          <w:lang w:val="en-US" w:eastAsia="zh-CN"/>
        </w:rPr>
      </w:pPr>
    </w:p>
    <w:p w14:paraId="1831D6F2">
      <w:pPr>
        <w:pStyle w:val="6"/>
        <w:rPr>
          <w:rFonts w:hint="eastAsia" w:ascii="黑体" w:hAnsi="黑体" w:eastAsia="黑体" w:cs="黑体"/>
          <w:lang w:val="en-US" w:eastAsia="zh-CN"/>
        </w:rPr>
      </w:pPr>
    </w:p>
    <w:p w14:paraId="43BEAD0B">
      <w:pPr>
        <w:rPr>
          <w:rFonts w:hint="eastAsia" w:ascii="黑体" w:hAnsi="黑体" w:eastAsia="黑体" w:cs="黑体"/>
          <w:lang w:val="en-US" w:eastAsia="zh-CN"/>
        </w:rPr>
      </w:pPr>
    </w:p>
    <w:p w14:paraId="330B2697">
      <w:pPr>
        <w:pStyle w:val="11"/>
        <w:rPr>
          <w:rFonts w:hint="eastAsia" w:ascii="黑体" w:hAnsi="黑体" w:eastAsia="黑体" w:cs="黑体"/>
          <w:lang w:val="en-US" w:eastAsia="zh-CN"/>
        </w:rPr>
      </w:pPr>
    </w:p>
    <w:p w14:paraId="720A7062">
      <w:pPr>
        <w:pStyle w:val="6"/>
        <w:rPr>
          <w:rFonts w:hint="eastAsia" w:ascii="黑体" w:hAnsi="黑体" w:eastAsia="黑体" w:cs="黑体"/>
          <w:lang w:val="en-US" w:eastAsia="zh-CN"/>
        </w:rPr>
      </w:pPr>
    </w:p>
    <w:p w14:paraId="1985D069">
      <w:pPr>
        <w:rPr>
          <w:rFonts w:hint="eastAsia" w:ascii="黑体" w:hAnsi="黑体" w:eastAsia="黑体" w:cs="黑体"/>
          <w:lang w:val="en-US" w:eastAsia="zh-CN"/>
        </w:rPr>
      </w:pPr>
    </w:p>
    <w:p w14:paraId="5AD341C5">
      <w:pPr>
        <w:pStyle w:val="11"/>
        <w:rPr>
          <w:rFonts w:hint="eastAsia" w:ascii="黑体" w:hAnsi="黑体" w:eastAsia="黑体" w:cs="黑体"/>
          <w:lang w:val="en-US" w:eastAsia="zh-CN"/>
        </w:rPr>
      </w:pPr>
    </w:p>
    <w:p w14:paraId="73299B97">
      <w:pPr>
        <w:pStyle w:val="6"/>
        <w:rPr>
          <w:rFonts w:hint="eastAsia" w:ascii="黑体" w:hAnsi="黑体" w:eastAsia="黑体" w:cs="黑体"/>
          <w:lang w:val="en-US" w:eastAsia="zh-CN"/>
        </w:rPr>
      </w:pPr>
    </w:p>
    <w:p w14:paraId="49610D2C">
      <w:pPr>
        <w:rPr>
          <w:rFonts w:hint="eastAsia" w:ascii="黑体" w:hAnsi="黑体" w:eastAsia="黑体" w:cs="黑体"/>
          <w:lang w:val="en-US" w:eastAsia="zh-CN"/>
        </w:rPr>
      </w:pPr>
    </w:p>
    <w:p w14:paraId="51E967C9">
      <w:pPr>
        <w:pStyle w:val="11"/>
        <w:rPr>
          <w:rFonts w:hint="eastAsia" w:ascii="黑体" w:hAnsi="黑体" w:eastAsia="黑体" w:cs="黑体"/>
          <w:lang w:val="en-US" w:eastAsia="zh-CN"/>
        </w:rPr>
      </w:pPr>
    </w:p>
    <w:p w14:paraId="23E6AC55">
      <w:pPr>
        <w:pStyle w:val="6"/>
        <w:rPr>
          <w:rFonts w:hint="eastAsia" w:ascii="黑体" w:hAnsi="黑体" w:eastAsia="黑体" w:cs="黑体"/>
          <w:lang w:val="en-US" w:eastAsia="zh-CN"/>
        </w:rPr>
      </w:pPr>
    </w:p>
    <w:p w14:paraId="30354012">
      <w:pPr>
        <w:rPr>
          <w:rFonts w:hint="eastAsia" w:ascii="黑体" w:hAnsi="黑体" w:eastAsia="黑体" w:cs="黑体"/>
          <w:lang w:val="en-US" w:eastAsia="zh-CN"/>
        </w:rPr>
      </w:pPr>
    </w:p>
    <w:p w14:paraId="1AD8050F">
      <w:pPr>
        <w:pStyle w:val="11"/>
        <w:ind w:left="0" w:leftChars="0" w:firstLine="0" w:firstLineChars="0"/>
        <w:rPr>
          <w:rFonts w:hint="eastAsia"/>
          <w:lang w:val="en-US" w:eastAsia="zh-CN"/>
        </w:rPr>
        <w:sectPr>
          <w:pgSz w:w="11906" w:h="16838"/>
          <w:pgMar w:top="1440" w:right="1800" w:bottom="1440" w:left="1800" w:header="851" w:footer="992" w:gutter="0"/>
          <w:cols w:space="425" w:num="1"/>
          <w:docGrid w:type="lines" w:linePitch="312" w:charSpace="0"/>
        </w:sectPr>
      </w:pPr>
    </w:p>
    <w:p w14:paraId="1A851F11">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14:paraId="40654FA8">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《暗纹东方鲀工厂化循环水养殖技术规范》征求意见汇总处理表</w:t>
      </w:r>
    </w:p>
    <w:p w14:paraId="424ED4C8">
      <w:pPr>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val="en-US" w:eastAsia="zh-CN"/>
        </w:rPr>
        <w:t>山西省检验检测中心（山西省标准计量技术研究院）</w:t>
      </w:r>
      <w:r>
        <w:rPr>
          <w:rFonts w:hint="eastAsia" w:ascii="仿宋_GB2312" w:hAnsi="宋体" w:eastAsia="仿宋_GB2312"/>
          <w:sz w:val="24"/>
        </w:rPr>
        <w:t xml:space="preserve"> 承办人：</w:t>
      </w:r>
      <w:r>
        <w:rPr>
          <w:rFonts w:hint="eastAsia" w:ascii="仿宋_GB2312" w:hAnsi="宋体" w:eastAsia="仿宋_GB2312"/>
          <w:sz w:val="24"/>
          <w:lang w:val="en-US" w:eastAsia="zh-CN"/>
        </w:rPr>
        <w:t>武栋</w:t>
      </w:r>
      <w:r>
        <w:rPr>
          <w:rFonts w:hint="eastAsia" w:ascii="仿宋_GB2312" w:hAnsi="宋体" w:eastAsia="仿宋_GB2312"/>
          <w:sz w:val="24"/>
        </w:rPr>
        <w:t xml:space="preserve">   联系电话：</w:t>
      </w:r>
      <w:r>
        <w:rPr>
          <w:rFonts w:hint="eastAsia" w:ascii="仿宋_GB2312" w:hAnsi="宋体" w:eastAsia="仿宋_GB2312"/>
          <w:sz w:val="24"/>
          <w:lang w:val="en-US" w:eastAsia="zh-CN"/>
        </w:rPr>
        <w:t>18335165777</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7</w:t>
      </w:r>
      <w:r>
        <w:rPr>
          <w:rFonts w:hint="eastAsia" w:ascii="仿宋_GB2312" w:hAnsi="宋体" w:eastAsia="仿宋_GB2312"/>
          <w:sz w:val="24"/>
        </w:rPr>
        <w:t>月</w:t>
      </w:r>
    </w:p>
    <w:tbl>
      <w:tblPr>
        <w:tblStyle w:val="8"/>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14:paraId="00AB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27B5DA8E">
            <w:pPr>
              <w:jc w:val="center"/>
              <w:rPr>
                <w:rFonts w:ascii="仿宋_GB2312" w:hAnsi="宋体" w:eastAsia="仿宋_GB2312"/>
                <w:sz w:val="24"/>
              </w:rPr>
            </w:pPr>
            <w:r>
              <w:rPr>
                <w:rFonts w:hint="eastAsia" w:ascii="仿宋_GB2312" w:hAnsi="宋体" w:eastAsia="仿宋_GB2312"/>
                <w:sz w:val="24"/>
              </w:rPr>
              <w:t>序号</w:t>
            </w:r>
          </w:p>
        </w:tc>
        <w:tc>
          <w:tcPr>
            <w:tcW w:w="1692" w:type="dxa"/>
            <w:noWrap w:val="0"/>
            <w:vAlign w:val="center"/>
          </w:tcPr>
          <w:p w14:paraId="19947E2C">
            <w:pPr>
              <w:jc w:val="center"/>
              <w:rPr>
                <w:rFonts w:ascii="仿宋_GB2312" w:hAnsi="宋体" w:eastAsia="仿宋_GB2312"/>
                <w:sz w:val="24"/>
              </w:rPr>
            </w:pPr>
            <w:r>
              <w:rPr>
                <w:rFonts w:hint="eastAsia" w:ascii="仿宋_GB2312" w:hAnsi="宋体" w:eastAsia="仿宋_GB2312"/>
                <w:sz w:val="24"/>
              </w:rPr>
              <w:t>标准章条编号</w:t>
            </w:r>
          </w:p>
        </w:tc>
        <w:tc>
          <w:tcPr>
            <w:tcW w:w="3833" w:type="dxa"/>
            <w:noWrap w:val="0"/>
            <w:vAlign w:val="center"/>
          </w:tcPr>
          <w:p w14:paraId="6C5C9607">
            <w:pPr>
              <w:jc w:val="center"/>
              <w:rPr>
                <w:rFonts w:ascii="仿宋_GB2312" w:hAnsi="宋体" w:eastAsia="仿宋_GB2312"/>
                <w:sz w:val="24"/>
              </w:rPr>
            </w:pPr>
            <w:r>
              <w:rPr>
                <w:rFonts w:hint="eastAsia" w:ascii="仿宋_GB2312" w:hAnsi="宋体" w:eastAsia="仿宋_GB2312"/>
                <w:sz w:val="24"/>
              </w:rPr>
              <w:t>意见内容</w:t>
            </w:r>
          </w:p>
        </w:tc>
        <w:tc>
          <w:tcPr>
            <w:tcW w:w="2437" w:type="dxa"/>
            <w:noWrap w:val="0"/>
            <w:vAlign w:val="center"/>
          </w:tcPr>
          <w:p w14:paraId="549129D6">
            <w:pPr>
              <w:jc w:val="center"/>
              <w:rPr>
                <w:rFonts w:ascii="仿宋_GB2312" w:hAnsi="宋体" w:eastAsia="仿宋_GB2312"/>
                <w:sz w:val="24"/>
              </w:rPr>
            </w:pPr>
            <w:r>
              <w:rPr>
                <w:rFonts w:hint="eastAsia" w:ascii="仿宋_GB2312" w:hAnsi="宋体" w:eastAsia="仿宋_GB2312"/>
                <w:sz w:val="24"/>
              </w:rPr>
              <w:t>提出单位</w:t>
            </w:r>
          </w:p>
          <w:p w14:paraId="1FDF7AC6">
            <w:pPr>
              <w:jc w:val="center"/>
              <w:rPr>
                <w:rFonts w:ascii="仿宋_GB2312" w:hAnsi="宋体" w:eastAsia="仿宋_GB2312"/>
                <w:sz w:val="24"/>
              </w:rPr>
            </w:pPr>
            <w:r>
              <w:rPr>
                <w:rFonts w:hint="eastAsia" w:ascii="仿宋_GB2312" w:hAnsi="宋体" w:eastAsia="仿宋_GB2312"/>
                <w:sz w:val="24"/>
              </w:rPr>
              <w:t>（或个人）</w:t>
            </w:r>
          </w:p>
        </w:tc>
        <w:tc>
          <w:tcPr>
            <w:tcW w:w="1774" w:type="dxa"/>
            <w:noWrap w:val="0"/>
            <w:vAlign w:val="center"/>
          </w:tcPr>
          <w:p w14:paraId="044FA3F1">
            <w:pPr>
              <w:jc w:val="center"/>
              <w:rPr>
                <w:rFonts w:ascii="仿宋_GB2312" w:hAnsi="宋体" w:eastAsia="仿宋_GB2312"/>
                <w:sz w:val="24"/>
              </w:rPr>
            </w:pPr>
            <w:r>
              <w:rPr>
                <w:rFonts w:hint="eastAsia" w:ascii="仿宋_GB2312" w:hAnsi="宋体" w:eastAsia="仿宋_GB2312"/>
                <w:sz w:val="24"/>
              </w:rPr>
              <w:t>处理意见</w:t>
            </w:r>
          </w:p>
          <w:p w14:paraId="59DCB33B">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3090" w:type="dxa"/>
            <w:noWrap w:val="0"/>
            <w:vAlign w:val="center"/>
          </w:tcPr>
          <w:p w14:paraId="2E90DD1E">
            <w:pPr>
              <w:jc w:val="center"/>
              <w:rPr>
                <w:rFonts w:ascii="仿宋_GB2312" w:hAnsi="宋体" w:eastAsia="仿宋_GB2312"/>
                <w:sz w:val="24"/>
              </w:rPr>
            </w:pPr>
            <w:r>
              <w:rPr>
                <w:rFonts w:hint="eastAsia" w:ascii="仿宋_GB2312" w:hAnsi="宋体" w:eastAsia="仿宋_GB2312"/>
                <w:sz w:val="24"/>
              </w:rPr>
              <w:t>意见处理说明</w:t>
            </w:r>
          </w:p>
          <w:p w14:paraId="28615C0B">
            <w:pPr>
              <w:jc w:val="center"/>
              <w:rPr>
                <w:rFonts w:ascii="仿宋_GB2312" w:hAnsi="宋体" w:eastAsia="仿宋_GB2312"/>
                <w:sz w:val="24"/>
              </w:rPr>
            </w:pPr>
            <w:r>
              <w:rPr>
                <w:rFonts w:hint="eastAsia" w:ascii="仿宋_GB2312" w:hAnsi="宋体" w:eastAsia="仿宋_GB2312"/>
                <w:sz w:val="24"/>
              </w:rPr>
              <w:t>（不采纳理由等）</w:t>
            </w:r>
          </w:p>
        </w:tc>
      </w:tr>
      <w:tr w14:paraId="491A6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08144117">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1692" w:type="dxa"/>
            <w:noWrap w:val="0"/>
            <w:vAlign w:val="center"/>
          </w:tcPr>
          <w:p w14:paraId="03B32BC0">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4.1</w:t>
            </w:r>
          </w:p>
        </w:tc>
        <w:tc>
          <w:tcPr>
            <w:tcW w:w="3833" w:type="dxa"/>
            <w:noWrap w:val="0"/>
            <w:vAlign w:val="center"/>
          </w:tcPr>
          <w:p w14:paraId="2026A549">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删除“环境条件”</w:t>
            </w:r>
          </w:p>
        </w:tc>
        <w:tc>
          <w:tcPr>
            <w:tcW w:w="2437" w:type="dxa"/>
            <w:noWrap w:val="0"/>
            <w:vAlign w:val="center"/>
          </w:tcPr>
          <w:p w14:paraId="1DF6D3B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山西省渔业协会</w:t>
            </w:r>
          </w:p>
        </w:tc>
        <w:tc>
          <w:tcPr>
            <w:tcW w:w="1774" w:type="dxa"/>
            <w:noWrap w:val="0"/>
            <w:vAlign w:val="center"/>
          </w:tcPr>
          <w:p w14:paraId="72DC876D">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21149322">
            <w:pPr>
              <w:jc w:val="center"/>
              <w:rPr>
                <w:rFonts w:hint="eastAsia" w:ascii="仿宋_GB2312" w:hAnsi="宋体" w:eastAsia="仿宋_GB2312"/>
                <w:sz w:val="24"/>
              </w:rPr>
            </w:pPr>
          </w:p>
        </w:tc>
      </w:tr>
      <w:tr w14:paraId="683E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7C87F3E">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2</w:t>
            </w:r>
          </w:p>
        </w:tc>
        <w:tc>
          <w:tcPr>
            <w:tcW w:w="1692" w:type="dxa"/>
            <w:noWrap w:val="0"/>
            <w:vAlign w:val="center"/>
          </w:tcPr>
          <w:p w14:paraId="3A5EB0A6">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4.1.3</w:t>
            </w:r>
          </w:p>
        </w:tc>
        <w:tc>
          <w:tcPr>
            <w:tcW w:w="3833" w:type="dxa"/>
            <w:noWrap w:val="0"/>
            <w:vAlign w:val="center"/>
          </w:tcPr>
          <w:p w14:paraId="315D0001">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微滤机网目不小于200目</w:t>
            </w:r>
          </w:p>
        </w:tc>
        <w:tc>
          <w:tcPr>
            <w:tcW w:w="2437" w:type="dxa"/>
            <w:noWrap w:val="0"/>
            <w:vAlign w:val="center"/>
          </w:tcPr>
          <w:p w14:paraId="3C3B0756">
            <w:pPr>
              <w:jc w:val="center"/>
              <w:rPr>
                <w:rFonts w:hint="default" w:ascii="仿宋_GB2312" w:hAnsi="宋体" w:eastAsia="仿宋_GB2312"/>
                <w:sz w:val="24"/>
                <w:lang w:val="en-US" w:eastAsia="zh-CN"/>
              </w:rPr>
            </w:pPr>
            <w:r>
              <w:rPr>
                <w:rFonts w:hint="default" w:ascii="仿宋_GB2312" w:hAnsi="宋体" w:eastAsia="仿宋_GB2312"/>
                <w:sz w:val="24"/>
                <w:lang w:val="en-US" w:eastAsia="zh-CN"/>
              </w:rPr>
              <w:t>山西万家寨水控水产开发有限公司</w:t>
            </w:r>
          </w:p>
        </w:tc>
        <w:tc>
          <w:tcPr>
            <w:tcW w:w="1774" w:type="dxa"/>
            <w:noWrap w:val="0"/>
            <w:vAlign w:val="center"/>
          </w:tcPr>
          <w:p w14:paraId="03022ED1">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5585EE4A">
            <w:pPr>
              <w:jc w:val="center"/>
              <w:rPr>
                <w:rFonts w:hint="eastAsia" w:ascii="仿宋_GB2312" w:hAnsi="宋体" w:eastAsia="仿宋_GB2312"/>
                <w:sz w:val="24"/>
              </w:rPr>
            </w:pPr>
          </w:p>
        </w:tc>
      </w:tr>
      <w:tr w14:paraId="50AF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F7A7CF4">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3</w:t>
            </w:r>
          </w:p>
        </w:tc>
        <w:tc>
          <w:tcPr>
            <w:tcW w:w="1692" w:type="dxa"/>
            <w:noWrap w:val="0"/>
            <w:vAlign w:val="center"/>
          </w:tcPr>
          <w:p w14:paraId="6FC8BE66">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4.1.4</w:t>
            </w:r>
          </w:p>
        </w:tc>
        <w:tc>
          <w:tcPr>
            <w:tcW w:w="3833" w:type="dxa"/>
            <w:noWrap w:val="0"/>
            <w:vAlign w:val="center"/>
          </w:tcPr>
          <w:p w14:paraId="4C548D87">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生物过滤设施表述精简</w:t>
            </w:r>
          </w:p>
        </w:tc>
        <w:tc>
          <w:tcPr>
            <w:tcW w:w="2437" w:type="dxa"/>
            <w:noWrap w:val="0"/>
            <w:vAlign w:val="center"/>
          </w:tcPr>
          <w:p w14:paraId="3E69AFC9">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山西农业大学</w:t>
            </w:r>
          </w:p>
        </w:tc>
        <w:tc>
          <w:tcPr>
            <w:tcW w:w="1774" w:type="dxa"/>
            <w:noWrap w:val="0"/>
            <w:vAlign w:val="center"/>
          </w:tcPr>
          <w:p w14:paraId="71FFE59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1337E73B">
            <w:pPr>
              <w:jc w:val="center"/>
              <w:rPr>
                <w:rFonts w:hint="eastAsia" w:ascii="仿宋_GB2312" w:hAnsi="宋体" w:eastAsia="仿宋_GB2312"/>
                <w:sz w:val="24"/>
              </w:rPr>
            </w:pPr>
          </w:p>
        </w:tc>
      </w:tr>
      <w:tr w14:paraId="6257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5D14ED81">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w:t>
            </w:r>
          </w:p>
        </w:tc>
        <w:tc>
          <w:tcPr>
            <w:tcW w:w="1692" w:type="dxa"/>
            <w:noWrap w:val="0"/>
            <w:vAlign w:val="center"/>
          </w:tcPr>
          <w:p w14:paraId="366DF1B9">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4.1.7</w:t>
            </w:r>
          </w:p>
        </w:tc>
        <w:tc>
          <w:tcPr>
            <w:tcW w:w="3833" w:type="dxa"/>
            <w:noWrap w:val="0"/>
            <w:vAlign w:val="center"/>
          </w:tcPr>
          <w:p w14:paraId="11D837FF">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增氧设施结合实际情况删减制氧机表述</w:t>
            </w:r>
          </w:p>
        </w:tc>
        <w:tc>
          <w:tcPr>
            <w:tcW w:w="2437" w:type="dxa"/>
            <w:noWrap w:val="0"/>
            <w:vAlign w:val="center"/>
          </w:tcPr>
          <w:p w14:paraId="7D7CC288">
            <w:pPr>
              <w:jc w:val="center"/>
              <w:rPr>
                <w:rFonts w:hint="eastAsia" w:ascii="仿宋_GB2312" w:hAnsi="宋体" w:eastAsia="仿宋_GB2312"/>
                <w:sz w:val="24"/>
              </w:rPr>
            </w:pPr>
            <w:r>
              <w:rPr>
                <w:rFonts w:hint="eastAsia" w:ascii="仿宋_GB2312" w:hAnsi="宋体" w:eastAsia="仿宋_GB2312"/>
                <w:sz w:val="24"/>
                <w:lang w:val="en-US" w:eastAsia="zh-CN"/>
              </w:rPr>
              <w:t>山西万家寨水控水产开发有限公司</w:t>
            </w:r>
          </w:p>
        </w:tc>
        <w:tc>
          <w:tcPr>
            <w:tcW w:w="1774" w:type="dxa"/>
            <w:noWrap w:val="0"/>
            <w:vAlign w:val="center"/>
          </w:tcPr>
          <w:p w14:paraId="3618FD0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14C7A794">
            <w:pPr>
              <w:jc w:val="center"/>
              <w:rPr>
                <w:rFonts w:hint="eastAsia" w:ascii="仿宋_GB2312" w:hAnsi="宋体" w:eastAsia="仿宋_GB2312"/>
                <w:sz w:val="24"/>
              </w:rPr>
            </w:pPr>
          </w:p>
        </w:tc>
      </w:tr>
      <w:tr w14:paraId="1A65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25747B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w:t>
            </w:r>
          </w:p>
        </w:tc>
        <w:tc>
          <w:tcPr>
            <w:tcW w:w="1692" w:type="dxa"/>
            <w:noWrap w:val="0"/>
            <w:vAlign w:val="center"/>
          </w:tcPr>
          <w:p w14:paraId="1B376E17">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5.5</w:t>
            </w:r>
          </w:p>
        </w:tc>
        <w:tc>
          <w:tcPr>
            <w:tcW w:w="3833" w:type="dxa"/>
            <w:noWrap w:val="0"/>
            <w:vAlign w:val="center"/>
          </w:tcPr>
          <w:p w14:paraId="700317E3">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试运行与前面内容重复建议删除</w:t>
            </w:r>
          </w:p>
        </w:tc>
        <w:tc>
          <w:tcPr>
            <w:tcW w:w="2437" w:type="dxa"/>
            <w:noWrap w:val="0"/>
            <w:vAlign w:val="center"/>
          </w:tcPr>
          <w:p w14:paraId="3FA2602D">
            <w:pPr>
              <w:jc w:val="center"/>
              <w:rPr>
                <w:rFonts w:hint="eastAsia" w:ascii="仿宋_GB2312" w:hAnsi="宋体" w:eastAsia="仿宋_GB2312"/>
                <w:sz w:val="24"/>
              </w:rPr>
            </w:pPr>
            <w:r>
              <w:rPr>
                <w:rFonts w:hint="eastAsia" w:ascii="仿宋_GB2312" w:hAnsi="宋体" w:eastAsia="仿宋_GB2312"/>
                <w:sz w:val="24"/>
                <w:lang w:val="en-US" w:eastAsia="zh-CN"/>
              </w:rPr>
              <w:t>山西省水产技术推广服务中心</w:t>
            </w:r>
          </w:p>
        </w:tc>
        <w:tc>
          <w:tcPr>
            <w:tcW w:w="1774" w:type="dxa"/>
            <w:noWrap w:val="0"/>
            <w:vAlign w:val="center"/>
          </w:tcPr>
          <w:p w14:paraId="59E17F0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348FB808">
            <w:pPr>
              <w:jc w:val="center"/>
              <w:rPr>
                <w:rFonts w:hint="eastAsia" w:ascii="仿宋_GB2312" w:hAnsi="宋体" w:eastAsia="仿宋_GB2312"/>
                <w:sz w:val="24"/>
              </w:rPr>
            </w:pPr>
          </w:p>
        </w:tc>
      </w:tr>
      <w:tr w14:paraId="5023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2066F583">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6</w:t>
            </w:r>
          </w:p>
        </w:tc>
        <w:tc>
          <w:tcPr>
            <w:tcW w:w="1692" w:type="dxa"/>
            <w:noWrap w:val="0"/>
            <w:vAlign w:val="center"/>
          </w:tcPr>
          <w:p w14:paraId="4D2EA124">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7.2</w:t>
            </w:r>
          </w:p>
        </w:tc>
        <w:tc>
          <w:tcPr>
            <w:tcW w:w="3833" w:type="dxa"/>
            <w:noWrap w:val="0"/>
            <w:vAlign w:val="center"/>
          </w:tcPr>
          <w:p w14:paraId="12F710C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应激处置水温温差不小于3</w:t>
            </w:r>
            <w:r>
              <w:rPr>
                <w:rFonts w:hint="default" w:ascii="Times New Roman" w:hAnsi="Times New Roman" w:eastAsia="宋体" w:cs="Times New Roman"/>
                <w:color w:val="000000"/>
                <w:kern w:val="0"/>
                <w:sz w:val="21"/>
                <w:szCs w:val="21"/>
                <w:lang w:val="en-US" w:eastAsia="zh-CN" w:bidi="ar"/>
              </w:rPr>
              <w:t>℃</w:t>
            </w:r>
          </w:p>
        </w:tc>
        <w:tc>
          <w:tcPr>
            <w:tcW w:w="2437" w:type="dxa"/>
            <w:noWrap w:val="0"/>
            <w:vAlign w:val="center"/>
          </w:tcPr>
          <w:p w14:paraId="679E0CB3">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山西省渔业协会</w:t>
            </w:r>
          </w:p>
        </w:tc>
        <w:tc>
          <w:tcPr>
            <w:tcW w:w="1774" w:type="dxa"/>
            <w:noWrap w:val="0"/>
            <w:vAlign w:val="center"/>
          </w:tcPr>
          <w:p w14:paraId="437BC625">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采纳</w:t>
            </w:r>
          </w:p>
        </w:tc>
        <w:tc>
          <w:tcPr>
            <w:tcW w:w="3090" w:type="dxa"/>
            <w:noWrap w:val="0"/>
            <w:vAlign w:val="center"/>
          </w:tcPr>
          <w:p w14:paraId="61153F66">
            <w:pPr>
              <w:jc w:val="center"/>
              <w:rPr>
                <w:rFonts w:hint="eastAsia" w:ascii="仿宋_GB2312" w:hAnsi="宋体" w:eastAsia="仿宋_GB2312"/>
                <w:sz w:val="24"/>
              </w:rPr>
            </w:pPr>
          </w:p>
        </w:tc>
      </w:tr>
      <w:tr w14:paraId="645B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3D9F4204">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3857723E">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hint="eastAsia" w:cs="Times New Roman"/>
                <w:szCs w:val="21"/>
                <w:u w:val="none"/>
                <w:lang w:val="en-US" w:eastAsia="zh-CN"/>
              </w:rPr>
              <w:t>4</w:t>
            </w:r>
            <w:r>
              <w:rPr>
                <w:rFonts w:hint="eastAsia" w:ascii="仿宋_GB2312" w:hAnsi="宋体" w:eastAsia="仿宋_GB2312"/>
                <w:sz w:val="24"/>
              </w:rPr>
              <w:t>个，收到征求意见稿回函的单位数</w:t>
            </w:r>
            <w:r>
              <w:rPr>
                <w:rFonts w:hint="eastAsia" w:ascii="仿宋_GB2312" w:hAnsi="宋体" w:eastAsia="仿宋_GB2312"/>
                <w:sz w:val="24"/>
                <w:u w:val="none"/>
                <w:lang w:val="en-US" w:eastAsia="zh-CN"/>
              </w:rPr>
              <w:t>4</w:t>
            </w:r>
            <w:r>
              <w:rPr>
                <w:rFonts w:hint="eastAsia" w:ascii="仿宋_GB2312" w:hAnsi="宋体" w:eastAsia="仿宋_GB2312"/>
                <w:sz w:val="24"/>
              </w:rPr>
              <w:t>个，收到征求意见稿并提出意见的单位数</w:t>
            </w:r>
            <w:r>
              <w:rPr>
                <w:rFonts w:hint="eastAsia" w:ascii="仿宋_GB2312" w:hAnsi="宋体" w:eastAsia="仿宋_GB2312"/>
                <w:sz w:val="24"/>
                <w:u w:val="none"/>
                <w:lang w:val="en-US" w:eastAsia="zh-CN"/>
              </w:rPr>
              <w:t>4</w:t>
            </w:r>
            <w:r>
              <w:rPr>
                <w:rFonts w:hint="eastAsia" w:ascii="仿宋_GB2312" w:hAnsi="宋体" w:eastAsia="仿宋_GB2312"/>
                <w:sz w:val="24"/>
              </w:rPr>
              <w:t>个，没有回函的单位数</w:t>
            </w:r>
            <w:r>
              <w:rPr>
                <w:rFonts w:hint="eastAsia" w:ascii="仿宋_GB2312" w:hAnsi="宋体" w:eastAsia="仿宋_GB2312"/>
                <w:sz w:val="24"/>
                <w:lang w:val="en-US" w:eastAsia="zh-CN"/>
              </w:rPr>
              <w:t>0</w:t>
            </w:r>
            <w:r>
              <w:rPr>
                <w:rFonts w:ascii="Times New Roman" w:hAnsi="Times New Roman" w:eastAsia="宋体" w:cs="Times New Roman"/>
                <w:szCs w:val="21"/>
                <w:u w:val="none"/>
              </w:rPr>
              <w:t xml:space="preserve"> </w:t>
            </w:r>
            <w:r>
              <w:rPr>
                <w:rFonts w:hint="eastAsia" w:ascii="仿宋_GB2312" w:hAnsi="宋体" w:eastAsia="仿宋_GB2312"/>
                <w:sz w:val="24"/>
              </w:rPr>
              <w:t>个，共收到</w:t>
            </w:r>
            <w:r>
              <w:rPr>
                <w:rFonts w:hint="eastAsia" w:cs="Times New Roman"/>
                <w:szCs w:val="21"/>
                <w:u w:val="none"/>
                <w:lang w:val="en-US" w:eastAsia="zh-CN"/>
              </w:rPr>
              <w:t>6</w:t>
            </w:r>
            <w:r>
              <w:rPr>
                <w:rFonts w:hint="eastAsia" w:ascii="仿宋_GB2312" w:hAnsi="宋体" w:eastAsia="仿宋_GB2312"/>
                <w:sz w:val="24"/>
              </w:rPr>
              <w:t>条意见，采纳</w:t>
            </w:r>
            <w:r>
              <w:rPr>
                <w:rFonts w:hint="eastAsia" w:cs="Times New Roman"/>
                <w:szCs w:val="21"/>
                <w:u w:val="none"/>
                <w:lang w:val="en-US" w:eastAsia="zh-CN"/>
              </w:rPr>
              <w:t>6</w:t>
            </w:r>
            <w:r>
              <w:rPr>
                <w:rFonts w:hint="eastAsia" w:ascii="仿宋_GB2312" w:hAnsi="宋体" w:eastAsia="仿宋_GB2312"/>
                <w:sz w:val="24"/>
              </w:rPr>
              <w:t>条意见，部分采纳</w:t>
            </w:r>
            <w:r>
              <w:rPr>
                <w:rFonts w:hint="eastAsia" w:cs="Times New Roman"/>
                <w:szCs w:val="21"/>
                <w:u w:val="none"/>
                <w:lang w:val="en-US" w:eastAsia="zh-CN"/>
              </w:rPr>
              <w:t>0</w:t>
            </w:r>
            <w:r>
              <w:rPr>
                <w:rFonts w:hint="eastAsia" w:ascii="仿宋_GB2312" w:hAnsi="宋体" w:eastAsia="仿宋_GB2312"/>
                <w:sz w:val="24"/>
              </w:rPr>
              <w:t>条意见，未采纳</w:t>
            </w:r>
            <w:r>
              <w:rPr>
                <w:rFonts w:hint="eastAsia" w:cs="Times New Roman"/>
                <w:szCs w:val="21"/>
                <w:u w:val="none"/>
                <w:lang w:val="en-US" w:eastAsia="zh-CN"/>
              </w:rPr>
              <w:t>0</w:t>
            </w:r>
            <w:r>
              <w:rPr>
                <w:rFonts w:hint="eastAsia" w:ascii="仿宋_GB2312" w:hAnsi="宋体" w:eastAsia="仿宋_GB2312"/>
                <w:sz w:val="24"/>
              </w:rPr>
              <w:t>条意见。</w:t>
            </w:r>
          </w:p>
        </w:tc>
      </w:tr>
    </w:tbl>
    <w:p w14:paraId="61D0CCEB"/>
    <w:p w14:paraId="4445AEE7">
      <w:pPr>
        <w:pStyle w:val="6"/>
        <w:rPr>
          <w:rFonts w:hint="eastAsia"/>
          <w:lang w:val="en-US" w:eastAsia="zh-CN"/>
        </w:rPr>
      </w:pPr>
      <w:bookmarkStart w:id="6" w:name="_GoBack"/>
      <w:bookmarkEnd w:id="6"/>
    </w:p>
    <w:sectPr>
      <w:type w:val="continuous"/>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7A798">
    <w:pPr>
      <w:pStyle w:val="4"/>
      <w:jc w:val="center"/>
    </w:pPr>
    <w:r>
      <w:fldChar w:fldCharType="begin"/>
    </w:r>
    <w:r>
      <w:instrText xml:space="preserve">PAGE   \* MERGEFORMAT</w:instrText>
    </w:r>
    <w:r>
      <w:fldChar w:fldCharType="separate"/>
    </w:r>
    <w:r>
      <w:rPr>
        <w:lang w:val="zh-CN"/>
      </w:rPr>
      <w:t>2</w:t>
    </w:r>
    <w:r>
      <w:fldChar w:fldCharType="end"/>
    </w:r>
  </w:p>
  <w:p w14:paraId="3FA7652D">
    <w:pPr>
      <w:pStyle w:val="4"/>
      <w:ind w:right="360"/>
      <w:rPr>
        <w:rStyle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8B6F9">
    <w:pPr>
      <w:pStyle w:val="4"/>
      <w:framePr w:wrap="around" w:vAnchor="text" w:hAnchor="margin" w:xAlign="center" w:y="1"/>
      <w:rPr>
        <w:rStyle w:val="10"/>
      </w:rPr>
    </w:pPr>
    <w:r>
      <w:fldChar w:fldCharType="begin"/>
    </w:r>
    <w:r>
      <w:rPr>
        <w:rStyle w:val="10"/>
      </w:rPr>
      <w:instrText xml:space="preserve">PAGE  </w:instrText>
    </w:r>
    <w:r>
      <w:fldChar w:fldCharType="end"/>
    </w:r>
  </w:p>
  <w:p w14:paraId="097E3E1C">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CFB6C">
    <w:pPr>
      <w:pStyle w:val="4"/>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95863">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CAA0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hODRlZmMxNTk5ZWFhZmY1Mjk3NmY0YThhNDg3NzUifQ=="/>
  </w:docVars>
  <w:rsids>
    <w:rsidRoot w:val="16243FAC"/>
    <w:rsid w:val="10537FD8"/>
    <w:rsid w:val="125F763B"/>
    <w:rsid w:val="16243FAC"/>
    <w:rsid w:val="226F2635"/>
    <w:rsid w:val="286D651A"/>
    <w:rsid w:val="4A147C17"/>
    <w:rsid w:val="59360905"/>
    <w:rsid w:val="66693D9E"/>
    <w:rsid w:val="67901777"/>
    <w:rsid w:val="713330DF"/>
    <w:rsid w:val="774D3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widowControl w:val="0"/>
      <w:spacing w:before="0" w:after="0"/>
      <w:ind w:left="420" w:leftChars="200" w:right="0"/>
      <w:jc w:val="both"/>
    </w:pPr>
    <w:rPr>
      <w:rFonts w:ascii="Calibri" w:hAnsi="Calibri" w:eastAsia="宋体" w:cs="宋体"/>
      <w:kern w:val="2"/>
      <w:sz w:val="32"/>
      <w:szCs w:val="32"/>
      <w:lang w:val="en-US" w:eastAsia="zh-CN" w:bidi="ar-SA"/>
    </w:rPr>
  </w:style>
  <w:style w:type="paragraph" w:styleId="3">
    <w:name w:val="Normal Indent"/>
    <w:basedOn w:val="1"/>
    <w:qFormat/>
    <w:uiPriority w:val="0"/>
    <w:pPr>
      <w:ind w:firstLine="420" w:firstLine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next w:val="1"/>
    <w:qFormat/>
    <w:uiPriority w:val="0"/>
    <w:pPr>
      <w:spacing w:before="0" w:beforeAutospacing="0" w:after="0" w:afterAutospacing="0"/>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正文首行缩进 21"/>
    <w:basedOn w:val="12"/>
    <w:next w:val="6"/>
    <w:qFormat/>
    <w:uiPriority w:val="0"/>
    <w:pPr>
      <w:ind w:firstLine="420" w:firstLineChars="200"/>
    </w:pPr>
  </w:style>
  <w:style w:type="paragraph" w:customStyle="1" w:styleId="12">
    <w:name w:val="正文文本缩进1"/>
    <w:basedOn w:val="1"/>
    <w:next w:val="13"/>
    <w:qFormat/>
    <w:uiPriority w:val="0"/>
    <w:pPr>
      <w:spacing w:after="120"/>
      <w:ind w:left="420" w:leftChars="200"/>
    </w:pPr>
  </w:style>
  <w:style w:type="paragraph" w:customStyle="1" w:styleId="13">
    <w:name w:val="正文缩进1"/>
    <w:basedOn w:val="1"/>
    <w:qFormat/>
    <w:uiPriority w:val="0"/>
    <w:pPr>
      <w:ind w:firstLine="420"/>
    </w:pPr>
    <w:rPr>
      <w:rFonts w:eastAsia="仿宋"/>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4139</Words>
  <Characters>4283</Characters>
  <Lines>0</Lines>
  <Paragraphs>0</Paragraphs>
  <TotalTime>10</TotalTime>
  <ScaleCrop>false</ScaleCrop>
  <LinksUpToDate>false</LinksUpToDate>
  <CharactersWithSpaces>4305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2024-10-15T09:02:00Z</dcterms:created>
  <dc:creator>毋占勇</dc:creator>
  <cp:lastModifiedBy>WD</cp:lastModifiedBy>
  <dcterms:modified xsi:type="dcterms:W3CDTF">2024-10-29T02:35:19Z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2C8109A0A4B845FDA1C5258F17500488_13</vt:lpwstr>
  </property>
</Properties>
</file>